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37D8E" w:rsidRDefault="00797504">
      <w:pPr>
        <w:pStyle w:val="ad"/>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w:t>
      </w:r>
      <w:r w:rsidR="00D01555">
        <w:rPr>
          <w:rFonts w:ascii="Arial" w:hAnsi="Arial" w:cs="Arial"/>
          <w:b/>
          <w:sz w:val="24"/>
          <w:szCs w:val="24"/>
        </w:rPr>
        <w:t>7</w:t>
      </w:r>
      <w:r>
        <w:rPr>
          <w:rFonts w:ascii="Arial" w:hAnsi="Arial" w:cs="Arial" w:hint="eastAsia"/>
          <w:b/>
          <w:color w:val="FF0000"/>
          <w:sz w:val="24"/>
          <w:szCs w:val="24"/>
        </w:rPr>
        <w:t xml:space="preserve"> </w:t>
      </w:r>
      <w:r>
        <w:rPr>
          <w:rFonts w:ascii="Arial" w:hAnsi="Arial" w:cs="Arial" w:hint="eastAsia"/>
          <w:b/>
          <w:sz w:val="24"/>
          <w:szCs w:val="24"/>
        </w:rPr>
        <w:t xml:space="preserve">                                </w:t>
      </w:r>
      <w:r w:rsidR="00D01555">
        <w:rPr>
          <w:rFonts w:ascii="Arial" w:hAnsi="Arial" w:cs="Arial"/>
          <w:b/>
          <w:sz w:val="24"/>
          <w:szCs w:val="24"/>
        </w:rPr>
        <w:t xml:space="preserve"> </w:t>
      </w:r>
      <w:r w:rsidR="00D7575D">
        <w:rPr>
          <w:rFonts w:ascii="Arial" w:hAnsi="Arial" w:cs="Arial"/>
          <w:b/>
          <w:sz w:val="24"/>
          <w:szCs w:val="24"/>
        </w:rPr>
        <w:t xml:space="preserve"> </w:t>
      </w:r>
      <w:bookmarkStart w:id="3" w:name="_GoBack"/>
      <w:bookmarkEnd w:id="3"/>
      <w:r w:rsidR="00D7575D" w:rsidRPr="00D7575D">
        <w:t xml:space="preserve"> </w:t>
      </w:r>
      <w:r w:rsidR="00D7575D" w:rsidRPr="00D7575D">
        <w:rPr>
          <w:rFonts w:ascii="Arial" w:hAnsi="Arial" w:cs="Arial"/>
          <w:b/>
          <w:sz w:val="24"/>
          <w:szCs w:val="24"/>
        </w:rPr>
        <w:t>R4-2521195</w:t>
      </w:r>
    </w:p>
    <w:bookmarkEnd w:id="2"/>
    <w:p w:rsidR="006814B9" w:rsidRDefault="00501866" w:rsidP="006814B9">
      <w:pPr>
        <w:pStyle w:val="ad"/>
        <w:tabs>
          <w:tab w:val="clear" w:pos="4680"/>
          <w:tab w:val="clear" w:pos="9360"/>
          <w:tab w:val="right" w:pos="9781"/>
          <w:tab w:val="right" w:pos="13323"/>
        </w:tabs>
        <w:spacing w:before="120" w:after="120"/>
        <w:outlineLvl w:val="0"/>
        <w:rPr>
          <w:rFonts w:ascii="Arial" w:hAnsi="Arial" w:cs="Arial"/>
          <w:b/>
          <w:sz w:val="24"/>
          <w:szCs w:val="24"/>
        </w:rPr>
      </w:pPr>
      <w:r w:rsidRPr="00501866">
        <w:rPr>
          <w:rFonts w:ascii="Arial" w:hAnsi="Arial" w:cs="Arial"/>
          <w:b/>
          <w:sz w:val="24"/>
          <w:szCs w:val="24"/>
        </w:rPr>
        <w:t>Dallas, USA, Nov. 17-21, 2025</w:t>
      </w:r>
    </w:p>
    <w:p w:rsidR="00537D8E" w:rsidRPr="006814B9" w:rsidRDefault="00537D8E">
      <w:pPr>
        <w:pStyle w:val="ad"/>
        <w:widowControl w:val="0"/>
        <w:tabs>
          <w:tab w:val="clear" w:pos="4680"/>
          <w:tab w:val="clear" w:pos="9360"/>
          <w:tab w:val="right" w:pos="10440"/>
          <w:tab w:val="right" w:pos="13323"/>
        </w:tabs>
        <w:spacing w:beforeLines="0" w:afterLines="0"/>
        <w:rPr>
          <w:rFonts w:ascii="Arial" w:hAnsi="Arial" w:cs="Arial"/>
          <w:b/>
          <w:sz w:val="24"/>
          <w:szCs w:val="24"/>
        </w:rPr>
      </w:pPr>
    </w:p>
    <w:p w:rsidR="00537D8E" w:rsidRDefault="0079750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501866">
        <w:rPr>
          <w:rFonts w:ascii="Arial" w:hAnsi="Arial"/>
          <w:b/>
          <w:sz w:val="24"/>
          <w:lang w:val="pt-BR"/>
        </w:rPr>
        <w:t>Views on 6G demodulation specifications imporovement</w:t>
      </w:r>
    </w:p>
    <w:p w:rsidR="00537D8E" w:rsidRDefault="0079750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537D8E" w:rsidRDefault="0079750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501866">
        <w:rPr>
          <w:rFonts w:ascii="Arial" w:hAnsi="Arial"/>
          <w:b/>
          <w:sz w:val="24"/>
          <w:lang w:val="pt-BR"/>
        </w:rPr>
        <w:t>8.12.2.3</w:t>
      </w:r>
    </w:p>
    <w:p w:rsidR="00537D8E" w:rsidRDefault="0079750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537D8E" w:rsidRDefault="0079750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5B1D3F" w:rsidRDefault="005B1D3F" w:rsidP="005B1D3F">
      <w:pPr>
        <w:spacing w:before="120" w:after="120"/>
        <w:rPr>
          <w:szCs w:val="22"/>
        </w:rPr>
      </w:pPr>
      <w:bookmarkStart w:id="4" w:name="_Hlk209191210"/>
      <w:r>
        <w:rPr>
          <w:szCs w:val="22"/>
        </w:rPr>
        <w:t xml:space="preserve">In RAN4 #116 meeting, a new SI [1]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876"/>
      </w:tblGrid>
      <w:tr w:rsidR="00601C27" w:rsidTr="00C43C92">
        <w:tc>
          <w:tcPr>
            <w:tcW w:w="9876" w:type="dxa"/>
          </w:tcPr>
          <w:p w:rsidR="00601C27" w:rsidRDefault="00601C27" w:rsidP="00C43C92">
            <w:pPr>
              <w:spacing w:before="120" w:after="120"/>
              <w:rPr>
                <w:szCs w:val="22"/>
              </w:rPr>
            </w:pPr>
            <w:r>
              <w:rPr>
                <w:noProof/>
              </w:rPr>
              <w:drawing>
                <wp:inline distT="0" distB="0" distL="0" distR="0" wp14:anchorId="1B9C699E" wp14:editId="5A8C9203">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rsidR="00537D8E" w:rsidRPr="00601C27" w:rsidRDefault="00601C27" w:rsidP="00601C27">
      <w:pPr>
        <w:spacing w:before="120" w:after="120"/>
        <w:rPr>
          <w:szCs w:val="22"/>
        </w:rPr>
      </w:pPr>
      <w:r>
        <w:rPr>
          <w:szCs w:val="22"/>
        </w:rPr>
        <w:t>In this contribution, we provide a detailed discussion on RAN4 demodulation specification improvement for 6GR study based on the last meeting discussion [2].</w:t>
      </w:r>
      <w:bookmarkEnd w:id="4"/>
    </w:p>
    <w:p w:rsidR="00537D8E" w:rsidRDefault="00797504">
      <w:pPr>
        <w:widowControl w:val="0"/>
        <w:pBdr>
          <w:top w:val="single" w:sz="12" w:space="3" w:color="auto"/>
        </w:pBdr>
        <w:spacing w:beforeLines="0" w:afterLines="0"/>
        <w:jc w:val="left"/>
        <w:outlineLvl w:val="0"/>
        <w:rPr>
          <w:kern w:val="0"/>
          <w:sz w:val="20"/>
        </w:rPr>
      </w:pPr>
      <w:r>
        <w:rPr>
          <w:rFonts w:hint="eastAsia"/>
          <w:b/>
          <w:kern w:val="0"/>
          <w:sz w:val="24"/>
          <w:szCs w:val="24"/>
        </w:rPr>
        <w:t xml:space="preserve">2 </w:t>
      </w:r>
      <w:r>
        <w:rPr>
          <w:b/>
          <w:kern w:val="0"/>
          <w:sz w:val="24"/>
          <w:szCs w:val="24"/>
        </w:rPr>
        <w:t>Discussion</w:t>
      </w:r>
    </w:p>
    <w:p w:rsidR="00537D8E" w:rsidRDefault="00797504">
      <w:pPr>
        <w:widowControl w:val="0"/>
        <w:spacing w:before="120" w:after="120"/>
        <w:rPr>
          <w:kern w:val="0"/>
          <w:sz w:val="20"/>
        </w:rPr>
      </w:pPr>
      <w:bookmarkStart w:id="5" w:name="_Hlk212112943"/>
      <w:r>
        <w:rPr>
          <w:rFonts w:hint="eastAsia"/>
          <w:kern w:val="0"/>
          <w:sz w:val="20"/>
        </w:rPr>
        <w:t>In the last meeting, RAN4 discussed</w:t>
      </w:r>
      <w:r w:rsidR="00601C27">
        <w:rPr>
          <w:kern w:val="0"/>
          <w:sz w:val="20"/>
        </w:rPr>
        <w:t xml:space="preserve"> the</w:t>
      </w:r>
      <w:r>
        <w:rPr>
          <w:rFonts w:hint="eastAsia"/>
          <w:kern w:val="0"/>
          <w:sz w:val="20"/>
        </w:rPr>
        <w:t xml:space="preserve"> detail</w:t>
      </w:r>
      <w:r w:rsidR="00601C27">
        <w:rPr>
          <w:kern w:val="0"/>
          <w:sz w:val="20"/>
        </w:rPr>
        <w:t>ed issues for the 6G specifications improvement</w:t>
      </w:r>
      <w:r>
        <w:rPr>
          <w:rFonts w:hint="eastAsia"/>
          <w:kern w:val="0"/>
          <w:sz w:val="20"/>
        </w:rPr>
        <w:t xml:space="preserve">, </w:t>
      </w:r>
      <w:r w:rsidR="00601C27">
        <w:rPr>
          <w:kern w:val="0"/>
          <w:sz w:val="20"/>
        </w:rPr>
        <w:t>including general principles, modernization and new tools, and drafting rules, etc.</w:t>
      </w:r>
      <w:r w:rsidR="00601C27">
        <w:rPr>
          <w:rFonts w:hint="eastAsia"/>
          <w:kern w:val="0"/>
          <w:sz w:val="20"/>
        </w:rPr>
        <w:t xml:space="preserve"> </w:t>
      </w:r>
      <w:r>
        <w:rPr>
          <w:rFonts w:hint="eastAsia"/>
          <w:kern w:val="0"/>
          <w:sz w:val="20"/>
        </w:rPr>
        <w:t xml:space="preserve">[2]. Next, we would like to address in the following for </w:t>
      </w:r>
      <w:r w:rsidR="00601C27">
        <w:rPr>
          <w:kern w:val="0"/>
          <w:sz w:val="20"/>
        </w:rPr>
        <w:t xml:space="preserve">6G demodulation specification improvements. </w:t>
      </w:r>
    </w:p>
    <w:bookmarkEnd w:id="5"/>
    <w:p w:rsidR="00537D8E" w:rsidRDefault="00601C27">
      <w:pPr>
        <w:widowControl w:val="0"/>
        <w:spacing w:before="120" w:after="120"/>
        <w:rPr>
          <w:b/>
          <w:bCs/>
          <w:kern w:val="0"/>
          <w:sz w:val="20"/>
        </w:rPr>
      </w:pPr>
      <w:r w:rsidRPr="00D71FD1">
        <w:rPr>
          <w:b/>
          <w:u w:val="single"/>
          <w:lang w:eastAsia="ko-KR"/>
        </w:rPr>
        <w:t>Perf/</w:t>
      </w:r>
      <w:proofErr w:type="spellStart"/>
      <w:r w:rsidRPr="00D71FD1">
        <w:rPr>
          <w:b/>
          <w:u w:val="single"/>
          <w:lang w:eastAsia="ko-KR"/>
        </w:rPr>
        <w:t>Demod</w:t>
      </w:r>
      <w:proofErr w:type="spellEnd"/>
      <w:r w:rsidRPr="00D71FD1">
        <w:rPr>
          <w:b/>
          <w:u w:val="single"/>
          <w:lang w:eastAsia="ko-KR"/>
        </w:rPr>
        <w:t xml:space="preserve"> specs improvements</w:t>
      </w:r>
    </w:p>
    <w:tbl>
      <w:tblPr>
        <w:tblStyle w:val="af3"/>
        <w:tblW w:w="0" w:type="auto"/>
        <w:tblLook w:val="04A0" w:firstRow="1" w:lastRow="0" w:firstColumn="1" w:lastColumn="0" w:noHBand="0" w:noVBand="1"/>
      </w:tblPr>
      <w:tblGrid>
        <w:gridCol w:w="9876"/>
      </w:tblGrid>
      <w:tr w:rsidR="00601C27" w:rsidTr="00601C27">
        <w:tc>
          <w:tcPr>
            <w:tcW w:w="9876" w:type="dxa"/>
          </w:tcPr>
          <w:p w:rsidR="00601C27" w:rsidRPr="00601C27" w:rsidRDefault="00601C27" w:rsidP="00601C27">
            <w:pPr>
              <w:pStyle w:val="af8"/>
              <w:numPr>
                <w:ilvl w:val="0"/>
                <w:numId w:val="9"/>
              </w:numPr>
              <w:overflowPunct/>
              <w:autoSpaceDE/>
              <w:autoSpaceDN/>
              <w:adjustRightInd/>
              <w:spacing w:before="120" w:afterLines="0" w:after="120"/>
              <w:contextualSpacing w:val="0"/>
              <w:jc w:val="left"/>
              <w:textAlignment w:val="auto"/>
              <w:rPr>
                <w:rFonts w:eastAsia="宋体"/>
                <w:sz w:val="18"/>
                <w:szCs w:val="18"/>
              </w:rPr>
            </w:pPr>
            <w:r w:rsidRPr="00601C27">
              <w:rPr>
                <w:rFonts w:eastAsia="宋体"/>
                <w:sz w:val="18"/>
                <w:szCs w:val="18"/>
              </w:rPr>
              <w:t>Proposals</w:t>
            </w:r>
          </w:p>
          <w:p w:rsidR="00601C27" w:rsidRPr="00601C27" w:rsidRDefault="00601C27" w:rsidP="00601C27">
            <w:pPr>
              <w:pStyle w:val="af8"/>
              <w:numPr>
                <w:ilvl w:val="1"/>
                <w:numId w:val="9"/>
              </w:numPr>
              <w:spacing w:before="120" w:afterLines="0" w:after="120"/>
              <w:ind w:left="1656"/>
              <w:contextualSpacing w:val="0"/>
              <w:jc w:val="left"/>
              <w:rPr>
                <w:rFonts w:eastAsia="宋体"/>
                <w:sz w:val="18"/>
                <w:szCs w:val="18"/>
              </w:rPr>
            </w:pPr>
            <w:r w:rsidRPr="00601C27">
              <w:rPr>
                <w:rFonts w:eastAsia="宋体"/>
                <w:sz w:val="18"/>
                <w:szCs w:val="18"/>
              </w:rPr>
              <w:t>Proposal 1: Replacing broad applicability statements with clear, centralized mappings of test coverage. This would enhance consistency and reduce ambiguity across device types and configurations.</w:t>
            </w:r>
          </w:p>
          <w:p w:rsidR="00601C27" w:rsidRPr="00601C27" w:rsidRDefault="00601C27" w:rsidP="00601C27">
            <w:pPr>
              <w:pStyle w:val="af8"/>
              <w:numPr>
                <w:ilvl w:val="1"/>
                <w:numId w:val="9"/>
              </w:numPr>
              <w:spacing w:before="120" w:afterLines="0" w:after="120"/>
              <w:ind w:left="1656"/>
              <w:contextualSpacing w:val="0"/>
              <w:jc w:val="left"/>
              <w:rPr>
                <w:rFonts w:eastAsia="宋体"/>
                <w:sz w:val="18"/>
                <w:szCs w:val="18"/>
              </w:rPr>
            </w:pPr>
            <w:r w:rsidRPr="00601C27">
              <w:rPr>
                <w:rFonts w:eastAsia="宋体"/>
                <w:sz w:val="18"/>
                <w:szCs w:val="18"/>
              </w:rPr>
              <w:t xml:space="preserve">Proposal 2: A capability-aware test applicability framework should be intended, e.g., For devices lacking legacy TN support, test applicability should be designed to avoid dependency on TN-related procedures and </w:t>
            </w:r>
            <w:r w:rsidRPr="00601C27">
              <w:rPr>
                <w:rFonts w:eastAsia="宋体"/>
                <w:sz w:val="18"/>
                <w:szCs w:val="18"/>
              </w:rPr>
              <w:lastRenderedPageBreak/>
              <w:t>corresponding test cases."</w:t>
            </w:r>
          </w:p>
          <w:p w:rsidR="00601C27" w:rsidRPr="00601C27" w:rsidRDefault="00601C27" w:rsidP="00601C27">
            <w:pPr>
              <w:pStyle w:val="af8"/>
              <w:numPr>
                <w:ilvl w:val="1"/>
                <w:numId w:val="9"/>
              </w:numPr>
              <w:spacing w:before="120" w:afterLines="0" w:after="120"/>
              <w:ind w:left="1656"/>
              <w:contextualSpacing w:val="0"/>
              <w:jc w:val="left"/>
              <w:rPr>
                <w:rFonts w:eastAsia="宋体"/>
                <w:sz w:val="18"/>
                <w:szCs w:val="18"/>
              </w:rPr>
            </w:pPr>
            <w:r w:rsidRPr="00601C27">
              <w:rPr>
                <w:rFonts w:eastAsia="宋体"/>
                <w:sz w:val="18"/>
                <w:szCs w:val="18"/>
              </w:rPr>
              <w:t>Proposal 3: FRC table improvements considering</w:t>
            </w:r>
          </w:p>
          <w:p w:rsidR="00E82CBB" w:rsidRDefault="00E82CBB" w:rsidP="00E82CBB">
            <w:pPr>
              <w:pStyle w:val="af8"/>
              <w:numPr>
                <w:ilvl w:val="2"/>
                <w:numId w:val="9"/>
              </w:numPr>
              <w:overflowPunct/>
              <w:autoSpaceDE/>
              <w:autoSpaceDN/>
              <w:adjustRightInd/>
              <w:spacing w:before="120" w:afterLines="0" w:after="120"/>
              <w:ind w:left="2376"/>
              <w:contextualSpacing w:val="0"/>
              <w:jc w:val="left"/>
              <w:textAlignment w:val="auto"/>
              <w:rPr>
                <w:rFonts w:eastAsia="宋体"/>
                <w:sz w:val="18"/>
                <w:szCs w:val="18"/>
              </w:rPr>
            </w:pPr>
            <w:r>
              <w:rPr>
                <w:rFonts w:eastAsia="宋体"/>
                <w:sz w:val="18"/>
                <w:szCs w:val="18"/>
              </w:rPr>
              <w:t xml:space="preserve">  </w:t>
            </w:r>
            <w:r w:rsidR="00601C27" w:rsidRPr="00601C27">
              <w:rPr>
                <w:rFonts w:eastAsia="宋体"/>
                <w:sz w:val="18"/>
                <w:szCs w:val="18"/>
              </w:rPr>
              <w:t>necessary configuration and avoid derived information</w:t>
            </w:r>
          </w:p>
          <w:p w:rsidR="00601C27" w:rsidRPr="00E82CBB" w:rsidRDefault="00E82CBB" w:rsidP="00E82CBB">
            <w:pPr>
              <w:pStyle w:val="af8"/>
              <w:numPr>
                <w:ilvl w:val="2"/>
                <w:numId w:val="9"/>
              </w:numPr>
              <w:overflowPunct/>
              <w:autoSpaceDE/>
              <w:autoSpaceDN/>
              <w:adjustRightInd/>
              <w:spacing w:before="120" w:afterLines="0" w:after="120"/>
              <w:ind w:left="2376"/>
              <w:contextualSpacing w:val="0"/>
              <w:jc w:val="left"/>
              <w:textAlignment w:val="auto"/>
              <w:rPr>
                <w:rFonts w:eastAsia="宋体"/>
                <w:sz w:val="18"/>
                <w:szCs w:val="18"/>
              </w:rPr>
            </w:pPr>
            <w:r>
              <w:rPr>
                <w:rFonts w:eastAsia="宋体"/>
                <w:sz w:val="18"/>
                <w:szCs w:val="18"/>
              </w:rPr>
              <w:t xml:space="preserve">  </w:t>
            </w:r>
            <w:r w:rsidR="00601C27" w:rsidRPr="00E82CBB">
              <w:rPr>
                <w:rFonts w:eastAsia="宋体"/>
                <w:sz w:val="18"/>
                <w:szCs w:val="18"/>
              </w:rPr>
              <w:t>methodology to generate FRC table efficiently</w:t>
            </w:r>
          </w:p>
        </w:tc>
      </w:tr>
    </w:tbl>
    <w:p w:rsidR="00443DA7" w:rsidRDefault="00CD0258">
      <w:pPr>
        <w:widowControl w:val="0"/>
        <w:spacing w:before="120" w:after="120"/>
        <w:rPr>
          <w:kern w:val="0"/>
          <w:sz w:val="20"/>
        </w:rPr>
      </w:pPr>
      <w:r>
        <w:rPr>
          <w:rFonts w:hint="eastAsia"/>
          <w:kern w:val="0"/>
          <w:sz w:val="20"/>
        </w:rPr>
        <w:lastRenderedPageBreak/>
        <w:t>I</w:t>
      </w:r>
      <w:r>
        <w:rPr>
          <w:kern w:val="0"/>
          <w:sz w:val="20"/>
        </w:rPr>
        <w:t>n the last meeting</w:t>
      </w:r>
      <w:r w:rsidR="00F33666">
        <w:rPr>
          <w:kern w:val="0"/>
          <w:sz w:val="20"/>
        </w:rPr>
        <w:t xml:space="preserve">, RAN4 discussed the </w:t>
      </w:r>
      <w:r w:rsidR="00E82CBB">
        <w:rPr>
          <w:kern w:val="0"/>
          <w:sz w:val="20"/>
        </w:rPr>
        <w:t xml:space="preserve">potential specification improvement aspects for demodulation from applicable rules, an FRC tables. </w:t>
      </w:r>
      <w:r w:rsidR="001B2120">
        <w:rPr>
          <w:kern w:val="0"/>
          <w:sz w:val="20"/>
        </w:rPr>
        <w:t xml:space="preserve">Regarding FRC tables, which not only including performance core parts specs, but also including conformance performance parts specs. Currently, RAN4 defines FRC tables for every test </w:t>
      </w:r>
      <w:r w:rsidR="00667116">
        <w:rPr>
          <w:kern w:val="0"/>
          <w:sz w:val="20"/>
        </w:rPr>
        <w:t>case</w:t>
      </w:r>
      <w:r w:rsidR="001B2120">
        <w:rPr>
          <w:kern w:val="0"/>
          <w:sz w:val="20"/>
        </w:rPr>
        <w:t xml:space="preserve">, in order to align the maximum throughput </w:t>
      </w:r>
      <w:r w:rsidR="00667116">
        <w:rPr>
          <w:kern w:val="0"/>
          <w:sz w:val="20"/>
        </w:rPr>
        <w:t>between the requirements definition and TE vendors. Because the different maximum throughputs have different SNR operation point for most performance test cases. Different configuration, such as MCS, MIMO layers, reference signal configurations also could have an impact on conformance testing results. That also is a guidance to align the company’s results, because the requirements definition based on the company’s collaboration.</w:t>
      </w:r>
    </w:p>
    <w:p w:rsidR="00214D3C" w:rsidRDefault="00667116">
      <w:pPr>
        <w:widowControl w:val="0"/>
        <w:spacing w:before="120" w:after="120"/>
        <w:rPr>
          <w:kern w:val="0"/>
          <w:sz w:val="20"/>
        </w:rPr>
      </w:pPr>
      <w:r>
        <w:rPr>
          <w:kern w:val="0"/>
          <w:sz w:val="20"/>
        </w:rPr>
        <w:t xml:space="preserve">Firstly, for the 38.101-4 spec, RAN4 introduced many </w:t>
      </w:r>
      <w:r w:rsidR="00FC0503">
        <w:rPr>
          <w:kern w:val="0"/>
          <w:sz w:val="20"/>
        </w:rPr>
        <w:t xml:space="preserve">different </w:t>
      </w:r>
      <w:r>
        <w:rPr>
          <w:kern w:val="0"/>
          <w:sz w:val="20"/>
        </w:rPr>
        <w:t>test cases for SU-PDSCH, CA, CSI requirements</w:t>
      </w:r>
      <w:r w:rsidR="00FC0503">
        <w:rPr>
          <w:kern w:val="0"/>
          <w:sz w:val="20"/>
        </w:rPr>
        <w:t xml:space="preserve"> to verify the performance of different functionalities. When reviewing those above test cases, different MCSs, MIMO layers, bandwidths, subcarriers, and reference signal configurations determine the throughput. </w:t>
      </w:r>
      <w:r w:rsidR="008B67A2" w:rsidRPr="008B67A2">
        <w:rPr>
          <w:kern w:val="0"/>
          <w:sz w:val="20"/>
        </w:rPr>
        <w:t>The encoding parameters follow the same calculation rules and depend on the RAN1 design.</w:t>
      </w:r>
      <w:r w:rsidR="008B67A2">
        <w:rPr>
          <w:kern w:val="0"/>
          <w:sz w:val="20"/>
        </w:rPr>
        <w:t xml:space="preserve"> </w:t>
      </w:r>
    </w:p>
    <w:p w:rsidR="00214D3C" w:rsidRDefault="008B67A2">
      <w:pPr>
        <w:widowControl w:val="0"/>
        <w:spacing w:before="120" w:after="120"/>
        <w:rPr>
          <w:kern w:val="0"/>
          <w:sz w:val="20"/>
        </w:rPr>
      </w:pPr>
      <w:r w:rsidRPr="008B67A2">
        <w:rPr>
          <w:kern w:val="0"/>
          <w:sz w:val="20"/>
        </w:rPr>
        <w:t xml:space="preserve">Based on the above analysis, we can see that the FRC tables are </w:t>
      </w:r>
      <w:r w:rsidR="00605737" w:rsidRPr="008B67A2">
        <w:rPr>
          <w:kern w:val="0"/>
          <w:sz w:val="20"/>
        </w:rPr>
        <w:t>configured</w:t>
      </w:r>
      <w:r w:rsidRPr="008B67A2">
        <w:rPr>
          <w:kern w:val="0"/>
          <w:sz w:val="20"/>
        </w:rPr>
        <w:t xml:space="preserve"> by parameters. Therefore, RAN4 should study an effective approach to including more related test cases, such as SU-PDSCH, CA, CSI requirements, SDR and ATP scenarios</w:t>
      </w:r>
      <w:r>
        <w:rPr>
          <w:kern w:val="0"/>
          <w:sz w:val="20"/>
        </w:rPr>
        <w:t xml:space="preserve">. </w:t>
      </w:r>
      <w:r w:rsidR="00101B03" w:rsidRPr="00101B03">
        <w:rPr>
          <w:kern w:val="0"/>
          <w:sz w:val="20"/>
        </w:rPr>
        <w:t>These test cases could be based on fundamental formula to calculate the maximum throughput.</w:t>
      </w:r>
      <w:r w:rsidR="00101B03">
        <w:rPr>
          <w:kern w:val="0"/>
          <w:sz w:val="20"/>
        </w:rPr>
        <w:t xml:space="preserve"> </w:t>
      </w:r>
    </w:p>
    <w:p w:rsidR="002A1FD6" w:rsidRDefault="00101B03">
      <w:pPr>
        <w:widowControl w:val="0"/>
        <w:spacing w:before="120" w:after="120"/>
        <w:rPr>
          <w:kern w:val="0"/>
          <w:sz w:val="20"/>
        </w:rPr>
      </w:pPr>
      <w:r w:rsidRPr="00101B03">
        <w:rPr>
          <w:kern w:val="0"/>
          <w:sz w:val="20"/>
        </w:rPr>
        <w:t>Secondly, the BS side specifications include the performance core part</w:t>
      </w:r>
      <w:r>
        <w:rPr>
          <w:kern w:val="0"/>
          <w:sz w:val="20"/>
        </w:rPr>
        <w:t>s</w:t>
      </w:r>
      <w:r w:rsidRPr="00101B03">
        <w:rPr>
          <w:kern w:val="0"/>
          <w:sz w:val="20"/>
        </w:rPr>
        <w:t xml:space="preserve"> and the conformance testing parts</w:t>
      </w:r>
      <w:r>
        <w:rPr>
          <w:kern w:val="0"/>
          <w:sz w:val="20"/>
        </w:rPr>
        <w:t>, not only for 38.104, but also for repeaters such as NCR, and IAB, etc., which also have demodulation requirements.</w:t>
      </w:r>
      <w:r w:rsidR="008733BF">
        <w:rPr>
          <w:kern w:val="0"/>
          <w:sz w:val="20"/>
        </w:rPr>
        <w:t xml:space="preserve"> </w:t>
      </w:r>
      <w:r w:rsidR="00BD7635">
        <w:rPr>
          <w:kern w:val="0"/>
          <w:sz w:val="20"/>
        </w:rPr>
        <w:t>T</w:t>
      </w:r>
      <w:r w:rsidR="00BD7635" w:rsidRPr="00BD7635">
        <w:rPr>
          <w:kern w:val="0"/>
          <w:sz w:val="20"/>
        </w:rPr>
        <w:t>he same issues occur regarding the FRC tables in 38.104 as in 38.101-4</w:t>
      </w:r>
      <w:r w:rsidR="00BD7635">
        <w:rPr>
          <w:kern w:val="0"/>
          <w:sz w:val="20"/>
        </w:rPr>
        <w:t xml:space="preserve">, </w:t>
      </w:r>
      <w:r w:rsidR="00BD7635" w:rsidRPr="00BD7635">
        <w:rPr>
          <w:kern w:val="0"/>
          <w:sz w:val="20"/>
        </w:rPr>
        <w:t>more FRC tables and the same calculation procedure.</w:t>
      </w:r>
      <w:r w:rsidR="00BD7635">
        <w:rPr>
          <w:kern w:val="0"/>
          <w:sz w:val="20"/>
        </w:rPr>
        <w:t xml:space="preserve"> </w:t>
      </w:r>
      <w:r w:rsidR="00BD7635" w:rsidRPr="00BD7635">
        <w:rPr>
          <w:kern w:val="0"/>
          <w:sz w:val="20"/>
        </w:rPr>
        <w:t xml:space="preserve">The calculation procedure is </w:t>
      </w:r>
      <w:r w:rsidR="00605737" w:rsidRPr="00BD7635">
        <w:rPr>
          <w:kern w:val="0"/>
          <w:sz w:val="20"/>
        </w:rPr>
        <w:t>easier</w:t>
      </w:r>
      <w:r w:rsidR="00BD7635" w:rsidRPr="00BD7635">
        <w:rPr>
          <w:kern w:val="0"/>
          <w:sz w:val="20"/>
        </w:rPr>
        <w:t xml:space="preserve"> than on the downlink side. There is no need to derive the throughput; it also lists the TB size and the total number of transmitted symbol</w:t>
      </w:r>
      <w:r w:rsidR="00BD7635">
        <w:rPr>
          <w:kern w:val="0"/>
          <w:sz w:val="20"/>
        </w:rPr>
        <w:t xml:space="preserve"> bits</w:t>
      </w:r>
      <w:r w:rsidR="00BD7635" w:rsidRPr="00BD7635">
        <w:rPr>
          <w:kern w:val="0"/>
          <w:sz w:val="20"/>
        </w:rPr>
        <w:t>, which depends on the modulation order</w:t>
      </w:r>
      <w:r w:rsidR="00930369">
        <w:rPr>
          <w:kern w:val="0"/>
          <w:sz w:val="20"/>
        </w:rPr>
        <w:t>. It also includes some encoding parameters.</w:t>
      </w:r>
      <w:r w:rsidR="00F52CA7">
        <w:rPr>
          <w:kern w:val="0"/>
          <w:sz w:val="20"/>
        </w:rPr>
        <w:t xml:space="preserve"> </w:t>
      </w:r>
      <w:r w:rsidR="00EC1AB8" w:rsidRPr="00EC1AB8">
        <w:rPr>
          <w:kern w:val="0"/>
          <w:sz w:val="20"/>
        </w:rPr>
        <w:t>Therefore, we believe that studying the efficiency of the FRC tables could be very useful and reduce the complexity of the specifications</w:t>
      </w:r>
      <w:r w:rsidR="009949F9">
        <w:rPr>
          <w:kern w:val="0"/>
          <w:sz w:val="20"/>
        </w:rPr>
        <w:t>.</w:t>
      </w:r>
    </w:p>
    <w:p w:rsidR="00930369" w:rsidRPr="009949F9" w:rsidRDefault="002A1FD6" w:rsidP="001425D3">
      <w:pPr>
        <w:widowControl w:val="0"/>
        <w:spacing w:before="120" w:after="120"/>
        <w:rPr>
          <w:kern w:val="0"/>
          <w:sz w:val="20"/>
        </w:rPr>
      </w:pPr>
      <w:r w:rsidRPr="009949F9">
        <w:rPr>
          <w:kern w:val="0"/>
          <w:sz w:val="20"/>
        </w:rPr>
        <w:t>Another issue is the numbering of the FRC between core and conformance testing.</w:t>
      </w:r>
      <w:r w:rsidR="00F52CA7" w:rsidRPr="009949F9">
        <w:rPr>
          <w:kern w:val="0"/>
          <w:sz w:val="20"/>
        </w:rPr>
        <w:t xml:space="preserve"> </w:t>
      </w:r>
      <w:r w:rsidRPr="009949F9">
        <w:rPr>
          <w:kern w:val="0"/>
          <w:sz w:val="20"/>
        </w:rPr>
        <w:t>During the 5G discussion, it was also required that the numbering of FRC tables be aligned between the core and conformance testing specifications for new BS types such as NCR and IAB, which have a single specification for introducing related functionality in 3GPP.</w:t>
      </w:r>
      <w:r w:rsidR="007F0B98" w:rsidRPr="009949F9">
        <w:rPr>
          <w:kern w:val="0"/>
          <w:sz w:val="20"/>
        </w:rPr>
        <w:t xml:space="preserve"> </w:t>
      </w:r>
      <w:r w:rsidR="009949F9" w:rsidRPr="009949F9">
        <w:rPr>
          <w:kern w:val="0"/>
          <w:sz w:val="20"/>
        </w:rPr>
        <w:t xml:space="preserve">Sometimes, demodulation requirements, being the final specification, define numerous baseband test cases, leading to </w:t>
      </w:r>
      <w:r w:rsidR="00605737" w:rsidRPr="009949F9">
        <w:rPr>
          <w:kern w:val="0"/>
          <w:sz w:val="20"/>
        </w:rPr>
        <w:t>many</w:t>
      </w:r>
      <w:r w:rsidR="009949F9" w:rsidRPr="009949F9">
        <w:rPr>
          <w:kern w:val="0"/>
          <w:sz w:val="20"/>
        </w:rPr>
        <w:t xml:space="preserve"> FRC tables to indicate test throughput. Conformance testing also includes many of these same tables. Because the core </w:t>
      </w:r>
      <w:r w:rsidR="002E0971">
        <w:rPr>
          <w:kern w:val="0"/>
          <w:sz w:val="20"/>
        </w:rPr>
        <w:t>parts</w:t>
      </w:r>
      <w:r w:rsidR="009949F9" w:rsidRPr="009949F9">
        <w:rPr>
          <w:kern w:val="0"/>
          <w:sz w:val="20"/>
        </w:rPr>
        <w:t xml:space="preserve"> and test</w:t>
      </w:r>
      <w:r w:rsidR="002E0971">
        <w:rPr>
          <w:kern w:val="0"/>
          <w:sz w:val="20"/>
        </w:rPr>
        <w:t xml:space="preserve"> specifications</w:t>
      </w:r>
      <w:r w:rsidR="009949F9" w:rsidRPr="009949F9">
        <w:rPr>
          <w:kern w:val="0"/>
          <w:sz w:val="20"/>
        </w:rPr>
        <w:t xml:space="preserve"> differ, the FRC numbering in the tes</w:t>
      </w:r>
      <w:r w:rsidR="002E0971">
        <w:rPr>
          <w:kern w:val="0"/>
          <w:sz w:val="20"/>
        </w:rPr>
        <w:t>t spec</w:t>
      </w:r>
      <w:r w:rsidR="009949F9" w:rsidRPr="009949F9">
        <w:rPr>
          <w:kern w:val="0"/>
          <w:sz w:val="20"/>
        </w:rPr>
        <w:t>s can be inconsistent, making it difficult to use the same numbering. This introduces a significant non-technical workload</w:t>
      </w:r>
      <w:r w:rsidR="00EA0102">
        <w:rPr>
          <w:kern w:val="0"/>
          <w:sz w:val="20"/>
        </w:rPr>
        <w:t>. Based</w:t>
      </w:r>
      <w:r w:rsidR="002E0971">
        <w:rPr>
          <w:kern w:val="0"/>
          <w:sz w:val="20"/>
        </w:rPr>
        <w:t xml:space="preserve"> in the above </w:t>
      </w:r>
      <w:r w:rsidR="001425D3">
        <w:rPr>
          <w:kern w:val="0"/>
          <w:sz w:val="20"/>
        </w:rPr>
        <w:t xml:space="preserve">reasons, </w:t>
      </w:r>
      <w:r w:rsidR="002E0971">
        <w:rPr>
          <w:kern w:val="0"/>
          <w:sz w:val="20"/>
        </w:rPr>
        <w:t xml:space="preserve">we propose to discuss whether it’s necessary to align the FRC numbers between </w:t>
      </w:r>
      <w:r w:rsidR="00480B64">
        <w:rPr>
          <w:kern w:val="0"/>
          <w:sz w:val="20"/>
        </w:rPr>
        <w:t xml:space="preserve">the </w:t>
      </w:r>
      <w:r w:rsidR="002E0971">
        <w:rPr>
          <w:kern w:val="0"/>
          <w:sz w:val="20"/>
        </w:rPr>
        <w:t>performance and conformance testing parts specifications, and how to adopt a unified, standardized naming convention in the 6</w:t>
      </w:r>
      <w:r w:rsidR="008930EA">
        <w:rPr>
          <w:kern w:val="0"/>
          <w:sz w:val="20"/>
        </w:rPr>
        <w:t>G.</w:t>
      </w:r>
      <w:r w:rsidR="002E0971">
        <w:rPr>
          <w:kern w:val="0"/>
          <w:sz w:val="20"/>
        </w:rPr>
        <w:t xml:space="preserve">                                                                  </w:t>
      </w:r>
    </w:p>
    <w:p w:rsidR="00101B03" w:rsidRPr="00CA6444" w:rsidRDefault="00CA6444">
      <w:pPr>
        <w:widowControl w:val="0"/>
        <w:spacing w:before="120" w:after="120"/>
        <w:rPr>
          <w:b/>
          <w:i/>
          <w:kern w:val="0"/>
          <w:sz w:val="20"/>
        </w:rPr>
      </w:pPr>
      <w:r w:rsidRPr="00CA6444">
        <w:rPr>
          <w:b/>
          <w:i/>
          <w:kern w:val="0"/>
          <w:sz w:val="20"/>
        </w:rPr>
        <w:t xml:space="preserve">Observation 1. </w:t>
      </w:r>
      <w:r w:rsidR="00E5660B">
        <w:rPr>
          <w:b/>
          <w:i/>
          <w:kern w:val="0"/>
          <w:sz w:val="20"/>
        </w:rPr>
        <w:t xml:space="preserve">The </w:t>
      </w:r>
      <w:r w:rsidR="00E63255">
        <w:rPr>
          <w:b/>
          <w:i/>
          <w:kern w:val="0"/>
          <w:sz w:val="20"/>
        </w:rPr>
        <w:t xml:space="preserve">FRC table is mainly about throughput calculations, </w:t>
      </w:r>
      <w:r w:rsidR="00E63255" w:rsidRPr="00E63255">
        <w:rPr>
          <w:b/>
          <w:i/>
          <w:kern w:val="0"/>
          <w:sz w:val="20"/>
        </w:rPr>
        <w:t>different MCSs, MIMO layers, bandwidths, subcarriers, and reference signal configurations determine the throughput.</w:t>
      </w:r>
    </w:p>
    <w:p w:rsidR="00CA6444" w:rsidRPr="00CA6444" w:rsidRDefault="00CA6444">
      <w:pPr>
        <w:widowControl w:val="0"/>
        <w:spacing w:before="120" w:after="120"/>
        <w:rPr>
          <w:b/>
          <w:i/>
          <w:kern w:val="0"/>
          <w:sz w:val="20"/>
        </w:rPr>
      </w:pPr>
      <w:r w:rsidRPr="00CA6444">
        <w:rPr>
          <w:b/>
          <w:i/>
          <w:kern w:val="0"/>
          <w:sz w:val="20"/>
        </w:rPr>
        <w:t>Observation 2.</w:t>
      </w:r>
      <w:r w:rsidR="00E63255">
        <w:rPr>
          <w:b/>
          <w:i/>
          <w:kern w:val="0"/>
          <w:sz w:val="20"/>
        </w:rPr>
        <w:t xml:space="preserve"> </w:t>
      </w:r>
      <w:r w:rsidR="00E63255" w:rsidRPr="00E63255">
        <w:rPr>
          <w:b/>
          <w:i/>
          <w:kern w:val="0"/>
          <w:sz w:val="20"/>
        </w:rPr>
        <w:t>The calculation procedure</w:t>
      </w:r>
      <w:r w:rsidR="00E63255">
        <w:rPr>
          <w:b/>
          <w:i/>
          <w:kern w:val="0"/>
          <w:sz w:val="20"/>
        </w:rPr>
        <w:t xml:space="preserve"> of uplink side</w:t>
      </w:r>
      <w:r w:rsidR="00E63255" w:rsidRPr="00E63255">
        <w:rPr>
          <w:b/>
          <w:i/>
          <w:kern w:val="0"/>
          <w:sz w:val="20"/>
        </w:rPr>
        <w:t xml:space="preserve"> is </w:t>
      </w:r>
      <w:r w:rsidR="00605737" w:rsidRPr="00E63255">
        <w:rPr>
          <w:b/>
          <w:i/>
          <w:kern w:val="0"/>
          <w:sz w:val="20"/>
        </w:rPr>
        <w:t>easier</w:t>
      </w:r>
      <w:r w:rsidR="00E63255" w:rsidRPr="00E63255">
        <w:rPr>
          <w:b/>
          <w:i/>
          <w:kern w:val="0"/>
          <w:sz w:val="20"/>
        </w:rPr>
        <w:t xml:space="preserve"> than on the downlink side. There is no need to derive the throughput; it also lists the TB size and the total number of transmitted symbol bits, which depends on the modulation order. It also includes some encoding parameters.</w:t>
      </w:r>
    </w:p>
    <w:p w:rsidR="00CA6444" w:rsidRPr="00CA6444" w:rsidRDefault="00CA6444">
      <w:pPr>
        <w:widowControl w:val="0"/>
        <w:spacing w:before="120" w:after="120"/>
        <w:rPr>
          <w:b/>
          <w:i/>
          <w:kern w:val="0"/>
          <w:sz w:val="20"/>
        </w:rPr>
      </w:pPr>
      <w:r w:rsidRPr="00CA6444">
        <w:rPr>
          <w:b/>
          <w:i/>
          <w:kern w:val="0"/>
          <w:sz w:val="20"/>
        </w:rPr>
        <w:t>Proposal 1.</w:t>
      </w:r>
      <w:r w:rsidR="00C03AA4">
        <w:rPr>
          <w:b/>
          <w:i/>
          <w:kern w:val="0"/>
          <w:sz w:val="20"/>
        </w:rPr>
        <w:t xml:space="preserve"> Propose to </w:t>
      </w:r>
      <w:r w:rsidR="00C03AA4" w:rsidRPr="00C03AA4">
        <w:rPr>
          <w:b/>
          <w:i/>
          <w:kern w:val="0"/>
          <w:sz w:val="20"/>
        </w:rPr>
        <w:t xml:space="preserve">explore ways to improve the efficiency of FRC table calculation, such as introducing scalable calculation methods. Such improvements are expected to significantly reduce the number of FRC </w:t>
      </w:r>
      <w:r w:rsidR="001D07BA">
        <w:rPr>
          <w:b/>
          <w:i/>
          <w:kern w:val="0"/>
          <w:sz w:val="20"/>
        </w:rPr>
        <w:t xml:space="preserve">table </w:t>
      </w:r>
      <w:r w:rsidR="00C03AA4" w:rsidRPr="00C03AA4">
        <w:rPr>
          <w:b/>
          <w:i/>
          <w:kern w:val="0"/>
          <w:sz w:val="20"/>
        </w:rPr>
        <w:t>definitions while lowering the overall complexity of the specification.</w:t>
      </w:r>
    </w:p>
    <w:p w:rsidR="00101B03" w:rsidRPr="002F1A73" w:rsidRDefault="00CA6444">
      <w:pPr>
        <w:widowControl w:val="0"/>
        <w:spacing w:before="120" w:after="120"/>
        <w:rPr>
          <w:b/>
          <w:i/>
          <w:kern w:val="0"/>
          <w:sz w:val="20"/>
        </w:rPr>
      </w:pPr>
      <w:r w:rsidRPr="00CA6444">
        <w:rPr>
          <w:rFonts w:hint="eastAsia"/>
          <w:b/>
          <w:i/>
          <w:kern w:val="0"/>
          <w:sz w:val="20"/>
        </w:rPr>
        <w:t>P</w:t>
      </w:r>
      <w:r w:rsidRPr="00CA6444">
        <w:rPr>
          <w:b/>
          <w:i/>
          <w:kern w:val="0"/>
          <w:sz w:val="20"/>
        </w:rPr>
        <w:t xml:space="preserve">roposal 2. </w:t>
      </w:r>
      <w:r w:rsidR="001D07BA">
        <w:rPr>
          <w:b/>
          <w:i/>
          <w:kern w:val="0"/>
          <w:sz w:val="20"/>
        </w:rPr>
        <w:t>P</w:t>
      </w:r>
      <w:r w:rsidR="001D07BA" w:rsidRPr="001D07BA">
        <w:rPr>
          <w:b/>
          <w:i/>
          <w:kern w:val="0"/>
          <w:sz w:val="20"/>
        </w:rPr>
        <w:t>ropose to discuss whether it’s necessary to align the FRC numbers between the performance and conformance testing parts specifications, and how to adopt a unified, standardized naming convention in the 6G</w:t>
      </w:r>
      <w:r w:rsidR="008930EA">
        <w:rPr>
          <w:b/>
          <w:i/>
          <w:kern w:val="0"/>
          <w:sz w:val="20"/>
        </w:rPr>
        <w:t>.</w:t>
      </w:r>
    </w:p>
    <w:p w:rsidR="00537D8E" w:rsidRDefault="00537D8E">
      <w:pPr>
        <w:widowControl w:val="0"/>
        <w:spacing w:beforeLines="100" w:before="240" w:afterLines="0" w:line="240" w:lineRule="auto"/>
        <w:rPr>
          <w:b/>
          <w:bCs/>
          <w:i/>
          <w:iCs/>
          <w:szCs w:val="21"/>
        </w:rPr>
      </w:pPr>
    </w:p>
    <w:p w:rsidR="00537D8E" w:rsidRDefault="00797504">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3 Conclusion</w:t>
      </w:r>
    </w:p>
    <w:p w:rsidR="00537D8E" w:rsidRDefault="0079750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we give some discussions on</w:t>
      </w:r>
      <w:r w:rsidR="00605737" w:rsidRPr="00605737">
        <w:rPr>
          <w:bCs/>
          <w:kern w:val="0"/>
          <w:szCs w:val="21"/>
        </w:rPr>
        <w:t xml:space="preserve"> 6G demodulation specifications </w:t>
      </w:r>
      <w:proofErr w:type="spellStart"/>
      <w:r w:rsidR="00605737" w:rsidRPr="00605737">
        <w:rPr>
          <w:bCs/>
          <w:kern w:val="0"/>
          <w:szCs w:val="21"/>
        </w:rPr>
        <w:t>imporovement</w:t>
      </w:r>
      <w:proofErr w:type="spellEnd"/>
      <w:r>
        <w:rPr>
          <w:rFonts w:hint="eastAsia"/>
          <w:bCs/>
          <w:kern w:val="0"/>
          <w:szCs w:val="21"/>
        </w:rPr>
        <w:t xml:space="preserve">, </w:t>
      </w:r>
      <w:r>
        <w:rPr>
          <w:bCs/>
          <w:kern w:val="0"/>
          <w:szCs w:val="21"/>
        </w:rPr>
        <w:t>t</w:t>
      </w:r>
      <w:r>
        <w:rPr>
          <w:rFonts w:hint="eastAsia"/>
          <w:bCs/>
          <w:kern w:val="0"/>
          <w:szCs w:val="21"/>
        </w:rPr>
        <w:t>he conclusions are:</w:t>
      </w:r>
    </w:p>
    <w:p w:rsidR="002F1A73" w:rsidRPr="00CA6444" w:rsidRDefault="002F1A73" w:rsidP="002F1A73">
      <w:pPr>
        <w:widowControl w:val="0"/>
        <w:spacing w:before="120" w:after="120"/>
        <w:rPr>
          <w:b/>
          <w:i/>
          <w:kern w:val="0"/>
          <w:sz w:val="20"/>
        </w:rPr>
      </w:pPr>
      <w:r w:rsidRPr="00CA6444">
        <w:rPr>
          <w:b/>
          <w:i/>
          <w:kern w:val="0"/>
          <w:sz w:val="20"/>
        </w:rPr>
        <w:t xml:space="preserve">Observation 1. </w:t>
      </w:r>
      <w:r>
        <w:rPr>
          <w:b/>
          <w:i/>
          <w:kern w:val="0"/>
          <w:sz w:val="20"/>
        </w:rPr>
        <w:t xml:space="preserve">The FRC table is mainly about throughput calculations, </w:t>
      </w:r>
      <w:r w:rsidRPr="00E63255">
        <w:rPr>
          <w:b/>
          <w:i/>
          <w:kern w:val="0"/>
          <w:sz w:val="20"/>
        </w:rPr>
        <w:t>different MCSs, MIMO layers, bandwidths, subcarriers, and reference signal configurations determine the throughput.</w:t>
      </w:r>
    </w:p>
    <w:p w:rsidR="002F1A73" w:rsidRPr="00CA6444" w:rsidRDefault="002F1A73" w:rsidP="002F1A73">
      <w:pPr>
        <w:widowControl w:val="0"/>
        <w:spacing w:before="120" w:after="120"/>
        <w:rPr>
          <w:b/>
          <w:i/>
          <w:kern w:val="0"/>
          <w:sz w:val="20"/>
        </w:rPr>
      </w:pPr>
      <w:r w:rsidRPr="00CA6444">
        <w:rPr>
          <w:b/>
          <w:i/>
          <w:kern w:val="0"/>
          <w:sz w:val="20"/>
        </w:rPr>
        <w:t>Observation 2.</w:t>
      </w:r>
      <w:r>
        <w:rPr>
          <w:b/>
          <w:i/>
          <w:kern w:val="0"/>
          <w:sz w:val="20"/>
        </w:rPr>
        <w:t xml:space="preserve"> </w:t>
      </w:r>
      <w:r w:rsidRPr="00E63255">
        <w:rPr>
          <w:b/>
          <w:i/>
          <w:kern w:val="0"/>
          <w:sz w:val="20"/>
        </w:rPr>
        <w:t>The calculation procedure</w:t>
      </w:r>
      <w:r>
        <w:rPr>
          <w:b/>
          <w:i/>
          <w:kern w:val="0"/>
          <w:sz w:val="20"/>
        </w:rPr>
        <w:t xml:space="preserve"> of uplink side</w:t>
      </w:r>
      <w:r w:rsidRPr="00E63255">
        <w:rPr>
          <w:b/>
          <w:i/>
          <w:kern w:val="0"/>
          <w:sz w:val="20"/>
        </w:rPr>
        <w:t xml:space="preserve"> is </w:t>
      </w:r>
      <w:r w:rsidR="00605737" w:rsidRPr="00E63255">
        <w:rPr>
          <w:b/>
          <w:i/>
          <w:kern w:val="0"/>
          <w:sz w:val="20"/>
        </w:rPr>
        <w:t>easier</w:t>
      </w:r>
      <w:r w:rsidRPr="00E63255">
        <w:rPr>
          <w:b/>
          <w:i/>
          <w:kern w:val="0"/>
          <w:sz w:val="20"/>
        </w:rPr>
        <w:t xml:space="preserve"> than on the downlink side. There is no need to derive the throughput; it also lists the TB size and the total number of transmitted symbol bits, which depends on the modulation order. It also includes some encoding parameters.</w:t>
      </w:r>
    </w:p>
    <w:p w:rsidR="002F1A73" w:rsidRPr="00CA6444" w:rsidRDefault="002F1A73" w:rsidP="002F1A73">
      <w:pPr>
        <w:widowControl w:val="0"/>
        <w:spacing w:before="120" w:after="120"/>
        <w:rPr>
          <w:b/>
          <w:i/>
          <w:kern w:val="0"/>
          <w:sz w:val="20"/>
        </w:rPr>
      </w:pPr>
      <w:r w:rsidRPr="00CA6444">
        <w:rPr>
          <w:b/>
          <w:i/>
          <w:kern w:val="0"/>
          <w:sz w:val="20"/>
        </w:rPr>
        <w:t>Proposal 1.</w:t>
      </w:r>
      <w:r>
        <w:rPr>
          <w:b/>
          <w:i/>
          <w:kern w:val="0"/>
          <w:sz w:val="20"/>
        </w:rPr>
        <w:t xml:space="preserve"> Propose to </w:t>
      </w:r>
      <w:r w:rsidRPr="00C03AA4">
        <w:rPr>
          <w:b/>
          <w:i/>
          <w:kern w:val="0"/>
          <w:sz w:val="20"/>
        </w:rPr>
        <w:t xml:space="preserve">explore ways to improve the efficiency of FRC table calculation, such as introducing scalable calculation methods. Such improvements are expected to significantly reduce the number of FRC </w:t>
      </w:r>
      <w:r>
        <w:rPr>
          <w:b/>
          <w:i/>
          <w:kern w:val="0"/>
          <w:sz w:val="20"/>
        </w:rPr>
        <w:t xml:space="preserve">table </w:t>
      </w:r>
      <w:r w:rsidRPr="00C03AA4">
        <w:rPr>
          <w:b/>
          <w:i/>
          <w:kern w:val="0"/>
          <w:sz w:val="20"/>
        </w:rPr>
        <w:t>definitions while lowering the overall complexity of the specification.</w:t>
      </w:r>
    </w:p>
    <w:p w:rsidR="005362D3" w:rsidRPr="00EC5B7F" w:rsidRDefault="002F1A73" w:rsidP="00EC5B7F">
      <w:pPr>
        <w:widowControl w:val="0"/>
        <w:spacing w:before="120" w:after="120"/>
        <w:rPr>
          <w:b/>
          <w:i/>
          <w:kern w:val="0"/>
          <w:sz w:val="20"/>
        </w:rPr>
      </w:pPr>
      <w:r w:rsidRPr="00CA6444">
        <w:rPr>
          <w:rFonts w:hint="eastAsia"/>
          <w:b/>
          <w:i/>
          <w:kern w:val="0"/>
          <w:sz w:val="20"/>
        </w:rPr>
        <w:t>P</w:t>
      </w:r>
      <w:r w:rsidRPr="00CA6444">
        <w:rPr>
          <w:b/>
          <w:i/>
          <w:kern w:val="0"/>
          <w:sz w:val="20"/>
        </w:rPr>
        <w:t xml:space="preserve">roposal 2. </w:t>
      </w:r>
      <w:r>
        <w:rPr>
          <w:b/>
          <w:i/>
          <w:kern w:val="0"/>
          <w:sz w:val="20"/>
        </w:rPr>
        <w:t>P</w:t>
      </w:r>
      <w:r w:rsidRPr="001D07BA">
        <w:rPr>
          <w:b/>
          <w:i/>
          <w:kern w:val="0"/>
          <w:sz w:val="20"/>
        </w:rPr>
        <w:t>ropose to discuss whether it’s necessary to align the FRC numbers between the performance and conformance testing parts specifications, and how to adopt a unified, standardized naming convention in the 6G</w:t>
      </w:r>
      <w:r w:rsidR="008930EA">
        <w:rPr>
          <w:b/>
          <w:i/>
          <w:kern w:val="0"/>
          <w:sz w:val="20"/>
        </w:rPr>
        <w:t>.</w:t>
      </w:r>
    </w:p>
    <w:p w:rsidR="00537D8E" w:rsidRDefault="00797504" w:rsidP="005B1D3F">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5B1D3F" w:rsidRPr="005B1D3F" w:rsidRDefault="005B1D3F" w:rsidP="005B1D3F">
      <w:pPr>
        <w:pStyle w:val="af8"/>
        <w:numPr>
          <w:ilvl w:val="0"/>
          <w:numId w:val="13"/>
        </w:numPr>
        <w:spacing w:before="120" w:after="120"/>
        <w:rPr>
          <w:rFonts w:eastAsia="宋体" w:cstheme="minorBidi"/>
          <w:kern w:val="0"/>
          <w:sz w:val="21"/>
          <w:szCs w:val="21"/>
        </w:rPr>
      </w:pPr>
      <w:r w:rsidRPr="005B1D3F">
        <w:rPr>
          <w:rFonts w:eastAsia="宋体" w:cstheme="minorBidi"/>
          <w:kern w:val="0"/>
          <w:sz w:val="21"/>
          <w:szCs w:val="21"/>
        </w:rPr>
        <w:t>R4-2511652, RAN4 6G Plan and Meeting Arrangement.</w:t>
      </w:r>
    </w:p>
    <w:p w:rsidR="00537D8E" w:rsidRDefault="00C22EFB">
      <w:pPr>
        <w:pStyle w:val="af8"/>
        <w:numPr>
          <w:ilvl w:val="0"/>
          <w:numId w:val="13"/>
        </w:numPr>
        <w:spacing w:afterLines="0" w:line="259" w:lineRule="auto"/>
        <w:ind w:right="-22"/>
        <w:jc w:val="left"/>
        <w:rPr>
          <w:rFonts w:eastAsiaTheme="minorHAnsi" w:cstheme="minorBidi"/>
          <w:kern w:val="0"/>
          <w:sz w:val="21"/>
          <w:szCs w:val="21"/>
          <w:lang w:eastAsia="en-US"/>
        </w:rPr>
      </w:pPr>
      <w:r w:rsidRPr="00C22EFB">
        <w:rPr>
          <w:rFonts w:eastAsiaTheme="minorHAnsi" w:cstheme="minorBidi"/>
          <w:kern w:val="0"/>
          <w:sz w:val="21"/>
          <w:szCs w:val="21"/>
          <w:lang w:eastAsia="en-US"/>
        </w:rPr>
        <w:t>R4-2514648</w:t>
      </w:r>
      <w:r>
        <w:rPr>
          <w:rFonts w:eastAsiaTheme="minorHAnsi" w:cstheme="minorBidi"/>
          <w:kern w:val="0"/>
          <w:sz w:val="21"/>
          <w:szCs w:val="21"/>
          <w:lang w:eastAsia="en-US"/>
        </w:rPr>
        <w:t xml:space="preserve">, </w:t>
      </w:r>
      <w:r w:rsidRPr="00C22EFB">
        <w:rPr>
          <w:rFonts w:eastAsiaTheme="minorHAnsi" w:cstheme="minorBidi"/>
          <w:kern w:val="0"/>
          <w:sz w:val="21"/>
          <w:szCs w:val="21"/>
          <w:lang w:eastAsia="en-US"/>
        </w:rPr>
        <w:t>Way Forward for [116</w:t>
      </w:r>
      <w:proofErr w:type="gramStart"/>
      <w:r w:rsidRPr="00C22EFB">
        <w:rPr>
          <w:rFonts w:eastAsiaTheme="minorHAnsi" w:cstheme="minorBidi"/>
          <w:kern w:val="0"/>
          <w:sz w:val="21"/>
          <w:szCs w:val="21"/>
          <w:lang w:eastAsia="en-US"/>
        </w:rPr>
        <w:t>bis][</w:t>
      </w:r>
      <w:proofErr w:type="gramEnd"/>
      <w:r w:rsidRPr="00C22EFB">
        <w:rPr>
          <w:rFonts w:eastAsiaTheme="minorHAnsi" w:cstheme="minorBidi"/>
          <w:kern w:val="0"/>
          <w:sz w:val="21"/>
          <w:szCs w:val="21"/>
          <w:lang w:eastAsia="en-US"/>
        </w:rPr>
        <w:t>111] 6G operation efficiency</w:t>
      </w:r>
      <w:r>
        <w:rPr>
          <w:rFonts w:eastAsiaTheme="minorHAnsi" w:cstheme="minorBidi"/>
          <w:kern w:val="0"/>
          <w:sz w:val="21"/>
          <w:szCs w:val="21"/>
          <w:lang w:eastAsia="en-US"/>
        </w:rPr>
        <w:t xml:space="preserve">, CATT. </w:t>
      </w:r>
    </w:p>
    <w:p w:rsidR="00537D8E" w:rsidRPr="00600AA9" w:rsidRDefault="00537D8E" w:rsidP="00600AA9">
      <w:pPr>
        <w:tabs>
          <w:tab w:val="left" w:pos="-420"/>
        </w:tabs>
        <w:spacing w:before="120" w:afterLines="0" w:after="120"/>
        <w:ind w:right="-22"/>
        <w:jc w:val="left"/>
        <w:rPr>
          <w:rFonts w:cstheme="minorBidi"/>
          <w:kern w:val="0"/>
          <w:szCs w:val="21"/>
        </w:rPr>
      </w:pPr>
    </w:p>
    <w:sectPr w:rsidR="00537D8E" w:rsidRPr="00600AA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C2A" w:rsidRDefault="00380C2A">
      <w:pPr>
        <w:spacing w:before="120" w:after="120" w:line="240" w:lineRule="auto"/>
      </w:pPr>
      <w:r>
        <w:separator/>
      </w:r>
    </w:p>
  </w:endnote>
  <w:endnote w:type="continuationSeparator" w:id="0">
    <w:p w:rsidR="00380C2A" w:rsidRDefault="00380C2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537D8E" w:rsidRDefault="00797504">
        <w:pPr>
          <w:pStyle w:val="ab"/>
          <w:spacing w:before="120" w:after="120"/>
          <w:jc w:val="center"/>
        </w:pPr>
        <w:r>
          <w:fldChar w:fldCharType="begin"/>
        </w:r>
        <w:r>
          <w:instrText xml:space="preserve"> PAGE   \* MERGEFORMAT </w:instrText>
        </w:r>
        <w:r>
          <w:fldChar w:fldCharType="separate"/>
        </w:r>
        <w:r>
          <w:t>2</w:t>
        </w:r>
        <w:r>
          <w:fldChar w:fldCharType="end"/>
        </w:r>
      </w:p>
    </w:sdtContent>
  </w:sdt>
  <w:p w:rsidR="00537D8E" w:rsidRDefault="00537D8E">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C2A" w:rsidRDefault="00380C2A">
      <w:pPr>
        <w:spacing w:before="120" w:after="120"/>
      </w:pPr>
      <w:r>
        <w:separator/>
      </w:r>
    </w:p>
  </w:footnote>
  <w:footnote w:type="continuationSeparator" w:id="0">
    <w:p w:rsidR="00380C2A" w:rsidRDefault="00380C2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358E95"/>
    <w:multiLevelType w:val="multilevel"/>
    <w:tmpl w:val="9F358E95"/>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C237030"/>
    <w:multiLevelType w:val="multilevel"/>
    <w:tmpl w:val="FC237030"/>
    <w:lvl w:ilvl="0">
      <w:start w:val="1"/>
      <w:numFmt w:val="bullet"/>
      <w:lvlText w:val="o"/>
      <w:lvlJc w:val="left"/>
      <w:pPr>
        <w:ind w:left="1500" w:hanging="420"/>
      </w:pPr>
      <w:rPr>
        <w:rFonts w:ascii="Courier New" w:hAnsi="Courier New" w:cs="Courier New"/>
      </w:rPr>
    </w:lvl>
    <w:lvl w:ilvl="1">
      <w:start w:val="1"/>
      <w:numFmt w:val="bullet"/>
      <w:lvlText w:val="-"/>
      <w:lvlJc w:val="left"/>
      <w:pPr>
        <w:ind w:left="1920" w:hanging="420"/>
      </w:pPr>
      <w:rPr>
        <w:rFonts w:ascii="宋体" w:eastAsia="Times New Roman" w:hAnsi="宋体" w:cs="宋体" w:hint="eastAsia"/>
      </w:rPr>
    </w:lvl>
    <w:lvl w:ilvl="2">
      <w:start w:val="1"/>
      <w:numFmt w:val="bullet"/>
      <w:lvlText w:val=""/>
      <w:lvlJc w:val="left"/>
      <w:pPr>
        <w:ind w:left="2340" w:hanging="420"/>
      </w:pPr>
      <w:rPr>
        <w:rFonts w:ascii="Wingdings" w:hAnsi="Wingdings" w:cs="Wingdings" w:hint="default"/>
      </w:rPr>
    </w:lvl>
    <w:lvl w:ilvl="3">
      <w:start w:val="1"/>
      <w:numFmt w:val="bullet"/>
      <w:lvlText w:val=""/>
      <w:lvlJc w:val="left"/>
      <w:pPr>
        <w:ind w:left="2760" w:hanging="420"/>
      </w:pPr>
      <w:rPr>
        <w:rFonts w:ascii="Wingdings" w:hAnsi="Wingdings" w:cs="Wingdings" w:hint="default"/>
      </w:rPr>
    </w:lvl>
    <w:lvl w:ilvl="4">
      <w:start w:val="1"/>
      <w:numFmt w:val="bullet"/>
      <w:lvlText w:val=""/>
      <w:lvlJc w:val="left"/>
      <w:pPr>
        <w:ind w:left="3180" w:hanging="420"/>
      </w:pPr>
      <w:rPr>
        <w:rFonts w:ascii="Wingdings" w:hAnsi="Wingdings" w:cs="Wingdings" w:hint="default"/>
      </w:rPr>
    </w:lvl>
    <w:lvl w:ilvl="5">
      <w:start w:val="1"/>
      <w:numFmt w:val="bullet"/>
      <w:lvlText w:val=""/>
      <w:lvlJc w:val="left"/>
      <w:pPr>
        <w:ind w:left="3600" w:hanging="420"/>
      </w:pPr>
      <w:rPr>
        <w:rFonts w:ascii="Wingdings" w:hAnsi="Wingdings" w:cs="Wingdings" w:hint="default"/>
      </w:rPr>
    </w:lvl>
    <w:lvl w:ilvl="6">
      <w:start w:val="1"/>
      <w:numFmt w:val="bullet"/>
      <w:lvlText w:val=""/>
      <w:lvlJc w:val="left"/>
      <w:pPr>
        <w:ind w:left="4020" w:hanging="420"/>
      </w:pPr>
      <w:rPr>
        <w:rFonts w:ascii="Wingdings" w:hAnsi="Wingdings" w:cs="Wingdings" w:hint="default"/>
      </w:rPr>
    </w:lvl>
    <w:lvl w:ilvl="7">
      <w:start w:val="1"/>
      <w:numFmt w:val="bullet"/>
      <w:lvlText w:val=""/>
      <w:lvlJc w:val="left"/>
      <w:pPr>
        <w:ind w:left="4440" w:hanging="420"/>
      </w:pPr>
      <w:rPr>
        <w:rFonts w:ascii="Wingdings" w:hAnsi="Wingdings" w:cs="Wingdings" w:hint="default"/>
      </w:rPr>
    </w:lvl>
    <w:lvl w:ilvl="8">
      <w:start w:val="1"/>
      <w:numFmt w:val="bullet"/>
      <w:lvlText w:val=""/>
      <w:lvlJc w:val="left"/>
      <w:pPr>
        <w:ind w:left="4860" w:hanging="420"/>
      </w:pPr>
      <w:rPr>
        <w:rFonts w:ascii="Wingdings" w:hAnsi="Wingdings" w:cs="Wingdings" w:hint="default"/>
      </w:rPr>
    </w:lvl>
  </w:abstractNum>
  <w:abstractNum w:abstractNumId="4"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7"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5"/>
  </w:num>
  <w:num w:numId="2">
    <w:abstractNumId w:val="13"/>
  </w:num>
  <w:num w:numId="3">
    <w:abstractNumId w:val="8"/>
  </w:num>
  <w:num w:numId="4">
    <w:abstractNumId w:val="9"/>
  </w:num>
  <w:num w:numId="5">
    <w:abstractNumId w:val="2"/>
  </w:num>
  <w:num w:numId="6">
    <w:abstractNumId w:val="1"/>
  </w:num>
  <w:num w:numId="7">
    <w:abstractNumId w:val="10"/>
  </w:num>
  <w:num w:numId="8">
    <w:abstractNumId w:val="4"/>
  </w:num>
  <w:num w:numId="9">
    <w:abstractNumId w:val="11"/>
  </w:num>
  <w:num w:numId="10">
    <w:abstractNumId w:val="6"/>
  </w:num>
  <w:num w:numId="11">
    <w:abstractNumId w:val="0"/>
  </w:num>
  <w:num w:numId="12">
    <w:abstractNumId w:val="3"/>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3385"/>
    <w:rsid w:val="00055E90"/>
    <w:rsid w:val="0006398D"/>
    <w:rsid w:val="0006622B"/>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1B03"/>
    <w:rsid w:val="00103A61"/>
    <w:rsid w:val="00104103"/>
    <w:rsid w:val="0010723D"/>
    <w:rsid w:val="00111371"/>
    <w:rsid w:val="0011249B"/>
    <w:rsid w:val="001171BF"/>
    <w:rsid w:val="00124481"/>
    <w:rsid w:val="00124962"/>
    <w:rsid w:val="001268B2"/>
    <w:rsid w:val="00126AB9"/>
    <w:rsid w:val="00134804"/>
    <w:rsid w:val="00136DE0"/>
    <w:rsid w:val="001425D3"/>
    <w:rsid w:val="0014297B"/>
    <w:rsid w:val="00153D6E"/>
    <w:rsid w:val="00154186"/>
    <w:rsid w:val="00154928"/>
    <w:rsid w:val="001668F7"/>
    <w:rsid w:val="00167A66"/>
    <w:rsid w:val="00172883"/>
    <w:rsid w:val="00172A27"/>
    <w:rsid w:val="00181331"/>
    <w:rsid w:val="00190A9E"/>
    <w:rsid w:val="001972EC"/>
    <w:rsid w:val="001A02CC"/>
    <w:rsid w:val="001A0763"/>
    <w:rsid w:val="001A2F90"/>
    <w:rsid w:val="001A3958"/>
    <w:rsid w:val="001A53F9"/>
    <w:rsid w:val="001B2120"/>
    <w:rsid w:val="001B2A0A"/>
    <w:rsid w:val="001B4491"/>
    <w:rsid w:val="001B4A61"/>
    <w:rsid w:val="001C0690"/>
    <w:rsid w:val="001C79E1"/>
    <w:rsid w:val="001C7EE8"/>
    <w:rsid w:val="001D07BA"/>
    <w:rsid w:val="001D1D23"/>
    <w:rsid w:val="001D35E0"/>
    <w:rsid w:val="001E2302"/>
    <w:rsid w:val="001E3484"/>
    <w:rsid w:val="001E43E0"/>
    <w:rsid w:val="001E4B08"/>
    <w:rsid w:val="001E4FF2"/>
    <w:rsid w:val="001E6706"/>
    <w:rsid w:val="001F2704"/>
    <w:rsid w:val="001F3990"/>
    <w:rsid w:val="001F3A84"/>
    <w:rsid w:val="001F442D"/>
    <w:rsid w:val="001F53DF"/>
    <w:rsid w:val="001F6B73"/>
    <w:rsid w:val="001F6CA9"/>
    <w:rsid w:val="00200A37"/>
    <w:rsid w:val="00204B15"/>
    <w:rsid w:val="00205DE5"/>
    <w:rsid w:val="0020633D"/>
    <w:rsid w:val="00210590"/>
    <w:rsid w:val="00214D3C"/>
    <w:rsid w:val="0021619D"/>
    <w:rsid w:val="002169F5"/>
    <w:rsid w:val="00224306"/>
    <w:rsid w:val="00233D01"/>
    <w:rsid w:val="00243827"/>
    <w:rsid w:val="00251D82"/>
    <w:rsid w:val="00256654"/>
    <w:rsid w:val="00262C8D"/>
    <w:rsid w:val="002639D1"/>
    <w:rsid w:val="00263BFE"/>
    <w:rsid w:val="002721B8"/>
    <w:rsid w:val="00274671"/>
    <w:rsid w:val="00284819"/>
    <w:rsid w:val="00291C5F"/>
    <w:rsid w:val="002A1FD6"/>
    <w:rsid w:val="002A5285"/>
    <w:rsid w:val="002B1799"/>
    <w:rsid w:val="002B1CFC"/>
    <w:rsid w:val="002B317A"/>
    <w:rsid w:val="002B7F9A"/>
    <w:rsid w:val="002C38DE"/>
    <w:rsid w:val="002C73D8"/>
    <w:rsid w:val="002D17CE"/>
    <w:rsid w:val="002D2488"/>
    <w:rsid w:val="002D535F"/>
    <w:rsid w:val="002E0971"/>
    <w:rsid w:val="002E5075"/>
    <w:rsid w:val="002F1A73"/>
    <w:rsid w:val="002F3621"/>
    <w:rsid w:val="002F60C6"/>
    <w:rsid w:val="00301C69"/>
    <w:rsid w:val="00307D72"/>
    <w:rsid w:val="003123F1"/>
    <w:rsid w:val="00314629"/>
    <w:rsid w:val="00316BE3"/>
    <w:rsid w:val="00332ECB"/>
    <w:rsid w:val="0034730D"/>
    <w:rsid w:val="00352FC0"/>
    <w:rsid w:val="003554B9"/>
    <w:rsid w:val="003658CD"/>
    <w:rsid w:val="00365C81"/>
    <w:rsid w:val="00371A27"/>
    <w:rsid w:val="0037274A"/>
    <w:rsid w:val="00380C2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42A9"/>
    <w:rsid w:val="00415A01"/>
    <w:rsid w:val="0041686A"/>
    <w:rsid w:val="00430809"/>
    <w:rsid w:val="0043126B"/>
    <w:rsid w:val="00432CFA"/>
    <w:rsid w:val="00434072"/>
    <w:rsid w:val="00443DA7"/>
    <w:rsid w:val="0044439F"/>
    <w:rsid w:val="00447360"/>
    <w:rsid w:val="004473B1"/>
    <w:rsid w:val="00450ED2"/>
    <w:rsid w:val="00456CF0"/>
    <w:rsid w:val="00456E49"/>
    <w:rsid w:val="00464D3A"/>
    <w:rsid w:val="0046786B"/>
    <w:rsid w:val="00471253"/>
    <w:rsid w:val="004718AC"/>
    <w:rsid w:val="00472E2B"/>
    <w:rsid w:val="00474D46"/>
    <w:rsid w:val="00475442"/>
    <w:rsid w:val="00480B64"/>
    <w:rsid w:val="00486D5B"/>
    <w:rsid w:val="00487520"/>
    <w:rsid w:val="00491DB1"/>
    <w:rsid w:val="00491F56"/>
    <w:rsid w:val="004953DD"/>
    <w:rsid w:val="00496B7E"/>
    <w:rsid w:val="004A0A7D"/>
    <w:rsid w:val="004A219E"/>
    <w:rsid w:val="004A6BDF"/>
    <w:rsid w:val="004B67C9"/>
    <w:rsid w:val="004B7C15"/>
    <w:rsid w:val="004C655F"/>
    <w:rsid w:val="004C68C4"/>
    <w:rsid w:val="004C7188"/>
    <w:rsid w:val="004C7366"/>
    <w:rsid w:val="004D00C7"/>
    <w:rsid w:val="004D7D6B"/>
    <w:rsid w:val="004E2C18"/>
    <w:rsid w:val="004E7D56"/>
    <w:rsid w:val="004F3E5E"/>
    <w:rsid w:val="004F40F6"/>
    <w:rsid w:val="004F5309"/>
    <w:rsid w:val="00501866"/>
    <w:rsid w:val="005060AB"/>
    <w:rsid w:val="00506781"/>
    <w:rsid w:val="005117D3"/>
    <w:rsid w:val="0051280A"/>
    <w:rsid w:val="005171AF"/>
    <w:rsid w:val="00527E5F"/>
    <w:rsid w:val="00530C83"/>
    <w:rsid w:val="005317AF"/>
    <w:rsid w:val="005362D3"/>
    <w:rsid w:val="00537D8E"/>
    <w:rsid w:val="00540778"/>
    <w:rsid w:val="005412D3"/>
    <w:rsid w:val="00551FB7"/>
    <w:rsid w:val="0055200D"/>
    <w:rsid w:val="005558F3"/>
    <w:rsid w:val="00556373"/>
    <w:rsid w:val="005600DF"/>
    <w:rsid w:val="00564DDE"/>
    <w:rsid w:val="00564ED8"/>
    <w:rsid w:val="00571C54"/>
    <w:rsid w:val="00571EA0"/>
    <w:rsid w:val="0057307C"/>
    <w:rsid w:val="005759AE"/>
    <w:rsid w:val="0057688F"/>
    <w:rsid w:val="00581F2D"/>
    <w:rsid w:val="0059380D"/>
    <w:rsid w:val="0059546A"/>
    <w:rsid w:val="005A33BC"/>
    <w:rsid w:val="005A62C0"/>
    <w:rsid w:val="005A634E"/>
    <w:rsid w:val="005B04FD"/>
    <w:rsid w:val="005B1BD7"/>
    <w:rsid w:val="005B1D3F"/>
    <w:rsid w:val="005B5EA3"/>
    <w:rsid w:val="005C460A"/>
    <w:rsid w:val="005C7FA5"/>
    <w:rsid w:val="005D070D"/>
    <w:rsid w:val="005E40FB"/>
    <w:rsid w:val="005F1838"/>
    <w:rsid w:val="005F49DE"/>
    <w:rsid w:val="005F72AF"/>
    <w:rsid w:val="00600AA9"/>
    <w:rsid w:val="0060166B"/>
    <w:rsid w:val="00601C27"/>
    <w:rsid w:val="00605737"/>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67116"/>
    <w:rsid w:val="006814B9"/>
    <w:rsid w:val="006814BC"/>
    <w:rsid w:val="00681EE2"/>
    <w:rsid w:val="00682C34"/>
    <w:rsid w:val="00692759"/>
    <w:rsid w:val="00692D06"/>
    <w:rsid w:val="00693693"/>
    <w:rsid w:val="00694E3B"/>
    <w:rsid w:val="006A4F63"/>
    <w:rsid w:val="006B36A2"/>
    <w:rsid w:val="006B3ECA"/>
    <w:rsid w:val="006B6E9E"/>
    <w:rsid w:val="006C3F10"/>
    <w:rsid w:val="006C4128"/>
    <w:rsid w:val="006C4FC1"/>
    <w:rsid w:val="006D0BE3"/>
    <w:rsid w:val="006D73E7"/>
    <w:rsid w:val="006E07F5"/>
    <w:rsid w:val="006E2948"/>
    <w:rsid w:val="006F1E71"/>
    <w:rsid w:val="00703812"/>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97504"/>
    <w:rsid w:val="007A111A"/>
    <w:rsid w:val="007B2C53"/>
    <w:rsid w:val="007B4AEC"/>
    <w:rsid w:val="007B78BA"/>
    <w:rsid w:val="007B7C40"/>
    <w:rsid w:val="007C0F3F"/>
    <w:rsid w:val="007C212D"/>
    <w:rsid w:val="007C2AEA"/>
    <w:rsid w:val="007C313B"/>
    <w:rsid w:val="007C35BD"/>
    <w:rsid w:val="007C56BF"/>
    <w:rsid w:val="007C7C1D"/>
    <w:rsid w:val="007D04FD"/>
    <w:rsid w:val="007D40A3"/>
    <w:rsid w:val="007D7198"/>
    <w:rsid w:val="007D77FA"/>
    <w:rsid w:val="007D7EC8"/>
    <w:rsid w:val="007E083E"/>
    <w:rsid w:val="007E731F"/>
    <w:rsid w:val="007E73BB"/>
    <w:rsid w:val="007F0B98"/>
    <w:rsid w:val="007F0C82"/>
    <w:rsid w:val="007F397A"/>
    <w:rsid w:val="007F4C60"/>
    <w:rsid w:val="007F5D97"/>
    <w:rsid w:val="007F6ACE"/>
    <w:rsid w:val="00804AC9"/>
    <w:rsid w:val="00810B4C"/>
    <w:rsid w:val="008113D0"/>
    <w:rsid w:val="00822913"/>
    <w:rsid w:val="0082424D"/>
    <w:rsid w:val="0082534F"/>
    <w:rsid w:val="008308A0"/>
    <w:rsid w:val="00832E40"/>
    <w:rsid w:val="008352F1"/>
    <w:rsid w:val="00841F02"/>
    <w:rsid w:val="00847D16"/>
    <w:rsid w:val="008616A3"/>
    <w:rsid w:val="008622E0"/>
    <w:rsid w:val="00866C06"/>
    <w:rsid w:val="008733BF"/>
    <w:rsid w:val="0088478B"/>
    <w:rsid w:val="0088501F"/>
    <w:rsid w:val="0088695E"/>
    <w:rsid w:val="00887B64"/>
    <w:rsid w:val="00887C4C"/>
    <w:rsid w:val="00892BB4"/>
    <w:rsid w:val="008930EA"/>
    <w:rsid w:val="00896760"/>
    <w:rsid w:val="008B5336"/>
    <w:rsid w:val="008B5677"/>
    <w:rsid w:val="008B67A2"/>
    <w:rsid w:val="008C42E9"/>
    <w:rsid w:val="008C71FA"/>
    <w:rsid w:val="008D0FE9"/>
    <w:rsid w:val="008E0883"/>
    <w:rsid w:val="008E23F2"/>
    <w:rsid w:val="0090159D"/>
    <w:rsid w:val="00902259"/>
    <w:rsid w:val="009211BF"/>
    <w:rsid w:val="00923381"/>
    <w:rsid w:val="0092386E"/>
    <w:rsid w:val="00930369"/>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52F"/>
    <w:rsid w:val="00993F32"/>
    <w:rsid w:val="009949F9"/>
    <w:rsid w:val="009A161D"/>
    <w:rsid w:val="009A5574"/>
    <w:rsid w:val="009C165E"/>
    <w:rsid w:val="009C4D8C"/>
    <w:rsid w:val="009C6AA9"/>
    <w:rsid w:val="009D36B4"/>
    <w:rsid w:val="009D3E4C"/>
    <w:rsid w:val="009D77AD"/>
    <w:rsid w:val="009E2DC5"/>
    <w:rsid w:val="009E5754"/>
    <w:rsid w:val="009F300C"/>
    <w:rsid w:val="009F6B4D"/>
    <w:rsid w:val="009F72E0"/>
    <w:rsid w:val="00A1419A"/>
    <w:rsid w:val="00A2192E"/>
    <w:rsid w:val="00A307A0"/>
    <w:rsid w:val="00A33FB3"/>
    <w:rsid w:val="00A36F0A"/>
    <w:rsid w:val="00A3733F"/>
    <w:rsid w:val="00A41CC3"/>
    <w:rsid w:val="00A45420"/>
    <w:rsid w:val="00A51603"/>
    <w:rsid w:val="00A55ACD"/>
    <w:rsid w:val="00A56951"/>
    <w:rsid w:val="00A56B38"/>
    <w:rsid w:val="00A65059"/>
    <w:rsid w:val="00A66ED0"/>
    <w:rsid w:val="00A71700"/>
    <w:rsid w:val="00A73727"/>
    <w:rsid w:val="00A8158C"/>
    <w:rsid w:val="00A827D7"/>
    <w:rsid w:val="00A8652B"/>
    <w:rsid w:val="00A92738"/>
    <w:rsid w:val="00A96342"/>
    <w:rsid w:val="00A9687A"/>
    <w:rsid w:val="00A96AA1"/>
    <w:rsid w:val="00AA0C45"/>
    <w:rsid w:val="00AB0A2A"/>
    <w:rsid w:val="00AB0CE8"/>
    <w:rsid w:val="00AB1D66"/>
    <w:rsid w:val="00AB7E4D"/>
    <w:rsid w:val="00AC3E7C"/>
    <w:rsid w:val="00AC4B90"/>
    <w:rsid w:val="00AC6026"/>
    <w:rsid w:val="00AD02C9"/>
    <w:rsid w:val="00AD4419"/>
    <w:rsid w:val="00AE3702"/>
    <w:rsid w:val="00AE4768"/>
    <w:rsid w:val="00AE71B6"/>
    <w:rsid w:val="00B012CB"/>
    <w:rsid w:val="00B0288C"/>
    <w:rsid w:val="00B15E4D"/>
    <w:rsid w:val="00B24A68"/>
    <w:rsid w:val="00B2645C"/>
    <w:rsid w:val="00B3240D"/>
    <w:rsid w:val="00B353FD"/>
    <w:rsid w:val="00B36DB0"/>
    <w:rsid w:val="00B43BBB"/>
    <w:rsid w:val="00B43DA0"/>
    <w:rsid w:val="00B54415"/>
    <w:rsid w:val="00B5514D"/>
    <w:rsid w:val="00B551F6"/>
    <w:rsid w:val="00B56064"/>
    <w:rsid w:val="00B5652E"/>
    <w:rsid w:val="00B6797B"/>
    <w:rsid w:val="00B9055A"/>
    <w:rsid w:val="00B92BB4"/>
    <w:rsid w:val="00BA03E6"/>
    <w:rsid w:val="00BB0A84"/>
    <w:rsid w:val="00BB1FB1"/>
    <w:rsid w:val="00BB7052"/>
    <w:rsid w:val="00BC2AB7"/>
    <w:rsid w:val="00BD7635"/>
    <w:rsid w:val="00BE107C"/>
    <w:rsid w:val="00BE1368"/>
    <w:rsid w:val="00BF62E8"/>
    <w:rsid w:val="00C03AA4"/>
    <w:rsid w:val="00C107DB"/>
    <w:rsid w:val="00C137EA"/>
    <w:rsid w:val="00C16823"/>
    <w:rsid w:val="00C22EFB"/>
    <w:rsid w:val="00C24C53"/>
    <w:rsid w:val="00C25162"/>
    <w:rsid w:val="00C27661"/>
    <w:rsid w:val="00C322B2"/>
    <w:rsid w:val="00C32A42"/>
    <w:rsid w:val="00C33951"/>
    <w:rsid w:val="00C3448B"/>
    <w:rsid w:val="00C43BD4"/>
    <w:rsid w:val="00C45E33"/>
    <w:rsid w:val="00C50EDF"/>
    <w:rsid w:val="00C53523"/>
    <w:rsid w:val="00C5398B"/>
    <w:rsid w:val="00C70213"/>
    <w:rsid w:val="00C7361A"/>
    <w:rsid w:val="00C83A72"/>
    <w:rsid w:val="00C840AD"/>
    <w:rsid w:val="00C928AB"/>
    <w:rsid w:val="00C95F42"/>
    <w:rsid w:val="00C96163"/>
    <w:rsid w:val="00CA08F3"/>
    <w:rsid w:val="00CA283F"/>
    <w:rsid w:val="00CA568B"/>
    <w:rsid w:val="00CA6444"/>
    <w:rsid w:val="00CB1EDD"/>
    <w:rsid w:val="00CB3EC3"/>
    <w:rsid w:val="00CB5814"/>
    <w:rsid w:val="00CC0827"/>
    <w:rsid w:val="00CC33D5"/>
    <w:rsid w:val="00CC3433"/>
    <w:rsid w:val="00CC42B3"/>
    <w:rsid w:val="00CC516E"/>
    <w:rsid w:val="00CC51D5"/>
    <w:rsid w:val="00CC6EF3"/>
    <w:rsid w:val="00CC7C77"/>
    <w:rsid w:val="00CD0258"/>
    <w:rsid w:val="00CD3F9F"/>
    <w:rsid w:val="00CE50F2"/>
    <w:rsid w:val="00CE5EAF"/>
    <w:rsid w:val="00CE79B3"/>
    <w:rsid w:val="00CF17C5"/>
    <w:rsid w:val="00CF40EB"/>
    <w:rsid w:val="00D01555"/>
    <w:rsid w:val="00D0372D"/>
    <w:rsid w:val="00D05CCB"/>
    <w:rsid w:val="00D0717D"/>
    <w:rsid w:val="00D11637"/>
    <w:rsid w:val="00D12096"/>
    <w:rsid w:val="00D15E57"/>
    <w:rsid w:val="00D2097F"/>
    <w:rsid w:val="00D21EF8"/>
    <w:rsid w:val="00D234CB"/>
    <w:rsid w:val="00D35BC4"/>
    <w:rsid w:val="00D367D1"/>
    <w:rsid w:val="00D37E34"/>
    <w:rsid w:val="00D4747D"/>
    <w:rsid w:val="00D52E7D"/>
    <w:rsid w:val="00D67AC0"/>
    <w:rsid w:val="00D67B5A"/>
    <w:rsid w:val="00D70142"/>
    <w:rsid w:val="00D7345C"/>
    <w:rsid w:val="00D7575D"/>
    <w:rsid w:val="00D75EDF"/>
    <w:rsid w:val="00DA28CF"/>
    <w:rsid w:val="00DA51C2"/>
    <w:rsid w:val="00DB5D94"/>
    <w:rsid w:val="00DC0D6E"/>
    <w:rsid w:val="00DC5698"/>
    <w:rsid w:val="00DD0AB0"/>
    <w:rsid w:val="00DE5372"/>
    <w:rsid w:val="00E006DF"/>
    <w:rsid w:val="00E01390"/>
    <w:rsid w:val="00E05D5E"/>
    <w:rsid w:val="00E065CE"/>
    <w:rsid w:val="00E11075"/>
    <w:rsid w:val="00E11178"/>
    <w:rsid w:val="00E11CBF"/>
    <w:rsid w:val="00E169AA"/>
    <w:rsid w:val="00E16B1D"/>
    <w:rsid w:val="00E329CC"/>
    <w:rsid w:val="00E341EE"/>
    <w:rsid w:val="00E34DFB"/>
    <w:rsid w:val="00E362EA"/>
    <w:rsid w:val="00E37FEB"/>
    <w:rsid w:val="00E408E0"/>
    <w:rsid w:val="00E427D9"/>
    <w:rsid w:val="00E46CAB"/>
    <w:rsid w:val="00E53AB3"/>
    <w:rsid w:val="00E56021"/>
    <w:rsid w:val="00E5660B"/>
    <w:rsid w:val="00E62914"/>
    <w:rsid w:val="00E63255"/>
    <w:rsid w:val="00E65216"/>
    <w:rsid w:val="00E71E9D"/>
    <w:rsid w:val="00E7249C"/>
    <w:rsid w:val="00E72EED"/>
    <w:rsid w:val="00E7329F"/>
    <w:rsid w:val="00E8052F"/>
    <w:rsid w:val="00E829E8"/>
    <w:rsid w:val="00E82CBB"/>
    <w:rsid w:val="00E917BF"/>
    <w:rsid w:val="00E94196"/>
    <w:rsid w:val="00E950FF"/>
    <w:rsid w:val="00EA0102"/>
    <w:rsid w:val="00EA239D"/>
    <w:rsid w:val="00EA764E"/>
    <w:rsid w:val="00EB22D1"/>
    <w:rsid w:val="00EB746E"/>
    <w:rsid w:val="00EC1AB8"/>
    <w:rsid w:val="00EC2F99"/>
    <w:rsid w:val="00EC56AB"/>
    <w:rsid w:val="00EC5B7F"/>
    <w:rsid w:val="00EC62DB"/>
    <w:rsid w:val="00EC7337"/>
    <w:rsid w:val="00ED5E0F"/>
    <w:rsid w:val="00EF6D36"/>
    <w:rsid w:val="00F10452"/>
    <w:rsid w:val="00F11DBE"/>
    <w:rsid w:val="00F128B1"/>
    <w:rsid w:val="00F149DF"/>
    <w:rsid w:val="00F15C6E"/>
    <w:rsid w:val="00F21B9C"/>
    <w:rsid w:val="00F21C0C"/>
    <w:rsid w:val="00F23D40"/>
    <w:rsid w:val="00F24891"/>
    <w:rsid w:val="00F25523"/>
    <w:rsid w:val="00F25D62"/>
    <w:rsid w:val="00F3322B"/>
    <w:rsid w:val="00F33666"/>
    <w:rsid w:val="00F35371"/>
    <w:rsid w:val="00F41A17"/>
    <w:rsid w:val="00F506E5"/>
    <w:rsid w:val="00F52CA7"/>
    <w:rsid w:val="00F52DE2"/>
    <w:rsid w:val="00F535F8"/>
    <w:rsid w:val="00F60E48"/>
    <w:rsid w:val="00F655C0"/>
    <w:rsid w:val="00F67D26"/>
    <w:rsid w:val="00F67F56"/>
    <w:rsid w:val="00F7071D"/>
    <w:rsid w:val="00F71837"/>
    <w:rsid w:val="00F7259C"/>
    <w:rsid w:val="00F84E34"/>
    <w:rsid w:val="00F850E4"/>
    <w:rsid w:val="00F854AC"/>
    <w:rsid w:val="00F858CA"/>
    <w:rsid w:val="00F91B54"/>
    <w:rsid w:val="00F96911"/>
    <w:rsid w:val="00FA3682"/>
    <w:rsid w:val="00FA3D99"/>
    <w:rsid w:val="00FA4942"/>
    <w:rsid w:val="00FA6AD1"/>
    <w:rsid w:val="00FB2B12"/>
    <w:rsid w:val="00FB3C9D"/>
    <w:rsid w:val="00FB3CC6"/>
    <w:rsid w:val="00FB46E7"/>
    <w:rsid w:val="00FB6239"/>
    <w:rsid w:val="00FB7CA4"/>
    <w:rsid w:val="00FC0503"/>
    <w:rsid w:val="00FC3509"/>
    <w:rsid w:val="00FC43E8"/>
    <w:rsid w:val="00FD026F"/>
    <w:rsid w:val="00FD0720"/>
    <w:rsid w:val="00FD2B82"/>
    <w:rsid w:val="00FD5FC4"/>
    <w:rsid w:val="00FE4F39"/>
    <w:rsid w:val="00FF0528"/>
    <w:rsid w:val="00FF10BD"/>
    <w:rsid w:val="00FF48DB"/>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96236"/>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931B4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C5A88"/>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581497"/>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C94E0E"/>
    <w:rsid w:val="11E57D4F"/>
    <w:rsid w:val="11F92DAB"/>
    <w:rsid w:val="11FC38D5"/>
    <w:rsid w:val="1201463E"/>
    <w:rsid w:val="12095296"/>
    <w:rsid w:val="120C5DAD"/>
    <w:rsid w:val="1210682D"/>
    <w:rsid w:val="121563D9"/>
    <w:rsid w:val="1227318C"/>
    <w:rsid w:val="123A05DB"/>
    <w:rsid w:val="124240B9"/>
    <w:rsid w:val="12436A05"/>
    <w:rsid w:val="12492456"/>
    <w:rsid w:val="12542FA0"/>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3598B"/>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0A0788"/>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044C"/>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6FF2E05"/>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70B33"/>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43C17"/>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D45EBB"/>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AA4861"/>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646FD"/>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0D6BCE"/>
    <w:rsid w:val="241B5C62"/>
    <w:rsid w:val="242001D4"/>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53130"/>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1F52BE"/>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9FF56F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00111"/>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12396B"/>
    <w:rsid w:val="2E34792A"/>
    <w:rsid w:val="2E423D71"/>
    <w:rsid w:val="2E434AD3"/>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6515C7"/>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84491A"/>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4FF53FE"/>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8A083E"/>
    <w:rsid w:val="3E9B4B40"/>
    <w:rsid w:val="3EB71AC8"/>
    <w:rsid w:val="3EBC1199"/>
    <w:rsid w:val="3EC33E74"/>
    <w:rsid w:val="3EC85E34"/>
    <w:rsid w:val="3ED0424C"/>
    <w:rsid w:val="3EEA46C5"/>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83761"/>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62A76"/>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53604"/>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5F95B5C"/>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AB4C25"/>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15116"/>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20DEC"/>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776E4B"/>
    <w:rsid w:val="4E9C0636"/>
    <w:rsid w:val="4EA30DB6"/>
    <w:rsid w:val="4EA7341F"/>
    <w:rsid w:val="4EAF115B"/>
    <w:rsid w:val="4EC50C90"/>
    <w:rsid w:val="4EDB58B2"/>
    <w:rsid w:val="4EE925CE"/>
    <w:rsid w:val="4EEF2E30"/>
    <w:rsid w:val="4EF24828"/>
    <w:rsid w:val="4EFE7F59"/>
    <w:rsid w:val="4F0C7EDB"/>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415A9"/>
    <w:rsid w:val="515D735D"/>
    <w:rsid w:val="51663E0F"/>
    <w:rsid w:val="516D657C"/>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082F69"/>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20FB"/>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64CB1"/>
    <w:rsid w:val="57AB6ADD"/>
    <w:rsid w:val="57B60DF8"/>
    <w:rsid w:val="57BD72A7"/>
    <w:rsid w:val="57BE5838"/>
    <w:rsid w:val="57FC07D9"/>
    <w:rsid w:val="57FF6992"/>
    <w:rsid w:val="580F1B21"/>
    <w:rsid w:val="581B7E79"/>
    <w:rsid w:val="581C599D"/>
    <w:rsid w:val="584645E3"/>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1931B6"/>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AD2753"/>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13001"/>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074EF"/>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A9735D"/>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B1BA0"/>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B2566"/>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71221"/>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72FF9"/>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A6245"/>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464CD"/>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D70E18"/>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B78E7"/>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DB3F30"/>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10899"/>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A7AD2"/>
    <w:rsid w:val="7DFB1EBB"/>
    <w:rsid w:val="7DFC1D56"/>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6C211D"/>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3B697"/>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uiPriority="0"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8">
    <w:name w:val="heading 8"/>
    <w:basedOn w:val="1"/>
    <w:next w:val="a"/>
    <w:qFormat/>
    <w:pPr>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qFormat/>
    <w:pPr>
      <w:ind w:left="568" w:hanging="284"/>
    </w:pPr>
  </w:style>
  <w:style w:type="paragraph" w:styleId="a4">
    <w:name w:val="caption"/>
    <w:basedOn w:val="a"/>
    <w:next w:val="a"/>
    <w:qFormat/>
    <w:pPr>
      <w:overflowPunct w:val="0"/>
      <w:autoSpaceDE w:val="0"/>
      <w:autoSpaceDN w:val="0"/>
      <w:adjustRightInd w:val="0"/>
      <w:spacing w:before="120" w:after="120"/>
      <w:textAlignment w:val="baseline"/>
    </w:pPr>
    <w:rPr>
      <w:b/>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a">
    <w:name w:val="批注框文本 字符"/>
    <w:basedOn w:val="a0"/>
    <w:link w:val="a9"/>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e">
    <w:name w:val="页眉 字符"/>
    <w:basedOn w:val="a0"/>
    <w:link w:val="ad"/>
    <w:semiHidden/>
    <w:qFormat/>
    <w:rPr>
      <w:rFonts w:eastAsia="宋体"/>
      <w:kern w:val="2"/>
      <w:sz w:val="21"/>
    </w:rPr>
  </w:style>
  <w:style w:type="character" w:customStyle="1" w:styleId="ac">
    <w:name w:val="页脚 字符"/>
    <w:basedOn w:val="a0"/>
    <w:link w:val="ab"/>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6">
    <w:name w:val="文档结构图 字符"/>
    <w:basedOn w:val="a0"/>
    <w:link w:val="a5"/>
    <w:uiPriority w:val="99"/>
    <w:semiHidden/>
    <w:qFormat/>
    <w:rPr>
      <w:rFonts w:ascii="宋体"/>
      <w:kern w:val="2"/>
      <w:sz w:val="18"/>
      <w:szCs w:val="18"/>
    </w:rPr>
  </w:style>
  <w:style w:type="character" w:customStyle="1" w:styleId="a8">
    <w:name w:val="批注文字 字符"/>
    <w:basedOn w:val="a0"/>
    <w:link w:val="a7"/>
    <w:qFormat/>
    <w:rPr>
      <w:rFonts w:eastAsia="宋体"/>
      <w:kern w:val="2"/>
      <w:sz w:val="21"/>
    </w:rPr>
  </w:style>
  <w:style w:type="character" w:customStyle="1" w:styleId="af2">
    <w:name w:val="批注主题 字符"/>
    <w:basedOn w:val="a8"/>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3"/>
    <w:link w:val="B1Char1"/>
    <w:qFormat/>
  </w:style>
  <w:style w:type="paragraph" w:customStyle="1" w:styleId="B3">
    <w:name w:val="B3"/>
    <w:basedOn w:val="31"/>
    <w:qFormat/>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d"/>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proposal">
    <w:name w:val="缩进1proposal"/>
    <w:basedOn w:val="af8"/>
    <w:qFormat/>
    <w:pPr>
      <w:widowControl w:val="0"/>
      <w:numPr>
        <w:numId w:val="7"/>
      </w:numPr>
      <w:spacing w:after="50"/>
      <w:ind w:firstLine="0"/>
    </w:pPr>
    <w:rPr>
      <w:rFonts w:ascii="Times" w:eastAsia="微软雅黑" w:hAnsi="Times"/>
      <w:b/>
    </w:rPr>
  </w:style>
  <w:style w:type="paragraph" w:customStyle="1" w:styleId="proposal">
    <w:name w:val="proposal"/>
    <w:basedOn w:val="a"/>
    <w:qFormat/>
    <w:pPr>
      <w:spacing w:after="50"/>
    </w:pPr>
    <w:rPr>
      <w:rFonts w:cs="宋体"/>
      <w: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Pr>
      <w:rFonts w:ascii="Times New Roman" w:eastAsia="Times New Roman" w:hAnsi="Times New Roman"/>
    </w:rPr>
  </w:style>
  <w:style w:type="table" w:customStyle="1" w:styleId="TableGrid1">
    <w:name w:val="TableGrid1"/>
    <w:basedOn w:val="a1"/>
    <w:qFormat/>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BF602-E2A5-4A78-B04B-278722CE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1064</Words>
  <Characters>6067</Characters>
  <Application>Microsoft Office Word</Application>
  <DocSecurity>0</DocSecurity>
  <Lines>50</Lines>
  <Paragraphs>14</Paragraphs>
  <ScaleCrop>false</ScaleCrop>
  <Company>ZTE Corporation</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67</cp:revision>
  <dcterms:created xsi:type="dcterms:W3CDTF">2021-09-06T20:42:00Z</dcterms:created>
  <dcterms:modified xsi:type="dcterms:W3CDTF">2025-11-07T08:59:00Z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